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yle1"/>
        <w:tblW w:w="9468" w:type="dxa"/>
        <w:tblLook w:val="0000" w:firstRow="0" w:lastRow="0" w:firstColumn="0" w:lastColumn="0" w:noHBand="0" w:noVBand="0"/>
      </w:tblPr>
      <w:tblGrid>
        <w:gridCol w:w="1638"/>
        <w:gridCol w:w="7830"/>
      </w:tblGrid>
      <w:tr w:rsidR="005526CB" w:rsidRPr="00342A2D" w14:paraId="74AC8621" w14:textId="77777777" w:rsidTr="00BD10ED">
        <w:trPr>
          <w:trHeight w:val="231"/>
        </w:trPr>
        <w:tc>
          <w:tcPr>
            <w:tcW w:w="1638" w:type="dxa"/>
          </w:tcPr>
          <w:p w14:paraId="03BC3536" w14:textId="77777777" w:rsidR="005526CB" w:rsidRPr="00342A2D" w:rsidRDefault="005526CB" w:rsidP="00BD10ED">
            <w:pPr>
              <w:pStyle w:val="NormalforTable"/>
            </w:pPr>
            <w:r>
              <w:rPr>
                <w:b w:val="0"/>
                <w:bCs w:val="0"/>
              </w:rPr>
              <w:br w:type="page"/>
            </w:r>
            <w:bookmarkStart w:id="0" w:name="_Hlk196293729"/>
            <w:r w:rsidRPr="00342A2D">
              <w:t>Date:</w:t>
            </w:r>
          </w:p>
        </w:tc>
        <w:tc>
          <w:tcPr>
            <w:tcW w:w="7830" w:type="dxa"/>
          </w:tcPr>
          <w:p w14:paraId="66520C3E" w14:textId="7D6C5639" w:rsidR="005526CB" w:rsidRPr="00DA3DBA" w:rsidRDefault="00CE751C" w:rsidP="00BD10ED">
            <w:pPr>
              <w:pStyle w:val="NormalforTable"/>
              <w:rPr>
                <w:b w:val="0"/>
                <w:bCs w:val="0"/>
              </w:rPr>
            </w:pPr>
            <w:r>
              <w:rPr>
                <w:b w:val="0"/>
                <w:bCs w:val="0"/>
              </w:rPr>
              <w:t xml:space="preserve">September </w:t>
            </w:r>
            <w:r w:rsidR="00547DF5">
              <w:rPr>
                <w:b w:val="0"/>
                <w:bCs w:val="0"/>
              </w:rPr>
              <w:t>7</w:t>
            </w:r>
            <w:r>
              <w:rPr>
                <w:b w:val="0"/>
                <w:bCs w:val="0"/>
              </w:rPr>
              <w:t>, 2026</w:t>
            </w:r>
          </w:p>
        </w:tc>
      </w:tr>
      <w:tr w:rsidR="005526CB" w:rsidRPr="00342A2D" w14:paraId="087264E7" w14:textId="77777777" w:rsidTr="00BD10ED">
        <w:trPr>
          <w:trHeight w:val="72"/>
        </w:trPr>
        <w:tc>
          <w:tcPr>
            <w:tcW w:w="1638" w:type="dxa"/>
          </w:tcPr>
          <w:p w14:paraId="19A29780" w14:textId="77777777" w:rsidR="005526CB" w:rsidRPr="00342A2D" w:rsidRDefault="005526CB" w:rsidP="00BD10ED">
            <w:pPr>
              <w:pStyle w:val="NormalforTable"/>
            </w:pPr>
            <w:r w:rsidRPr="00342A2D">
              <w:t>To:</w:t>
            </w:r>
          </w:p>
        </w:tc>
        <w:tc>
          <w:tcPr>
            <w:tcW w:w="7830" w:type="dxa"/>
          </w:tcPr>
          <w:p w14:paraId="0D9AD88E" w14:textId="77777777" w:rsidR="005526CB" w:rsidRPr="00342A2D" w:rsidRDefault="005526CB" w:rsidP="00BD10ED">
            <w:pPr>
              <w:pStyle w:val="NormalforTable"/>
              <w:rPr>
                <w:b w:val="0"/>
                <w:bCs w:val="0"/>
              </w:rPr>
            </w:pPr>
            <w:r w:rsidRPr="00342A2D">
              <w:rPr>
                <w:b w:val="0"/>
                <w:bCs w:val="0"/>
              </w:rPr>
              <w:t>Board of Directors</w:t>
            </w:r>
          </w:p>
        </w:tc>
      </w:tr>
      <w:tr w:rsidR="005526CB" w:rsidRPr="00342A2D" w14:paraId="1126C498" w14:textId="77777777" w:rsidTr="00BD10ED">
        <w:trPr>
          <w:trHeight w:val="72"/>
        </w:trPr>
        <w:tc>
          <w:tcPr>
            <w:tcW w:w="1638" w:type="dxa"/>
          </w:tcPr>
          <w:p w14:paraId="2795B6EE" w14:textId="77777777" w:rsidR="005526CB" w:rsidRPr="00342A2D" w:rsidRDefault="005526CB" w:rsidP="00BD10ED">
            <w:pPr>
              <w:pStyle w:val="NormalforTable"/>
            </w:pPr>
            <w:r w:rsidRPr="00342A2D">
              <w:t>From:</w:t>
            </w:r>
          </w:p>
        </w:tc>
        <w:tc>
          <w:tcPr>
            <w:tcW w:w="7830" w:type="dxa"/>
          </w:tcPr>
          <w:p w14:paraId="3597871A" w14:textId="77777777" w:rsidR="005526CB" w:rsidRPr="005E449F" w:rsidRDefault="005E449F" w:rsidP="00BD10ED">
            <w:pPr>
              <w:pStyle w:val="NormalforTable"/>
              <w:rPr>
                <w:b w:val="0"/>
                <w:bCs w:val="0"/>
              </w:rPr>
            </w:pPr>
            <w:r w:rsidRPr="005E449F">
              <w:rPr>
                <w:b w:val="0"/>
                <w:bCs w:val="0"/>
              </w:rPr>
              <w:t>Caitlin Smith, Technical Advisory Committee (TAC) Chair</w:t>
            </w:r>
          </w:p>
        </w:tc>
      </w:tr>
      <w:tr w:rsidR="005526CB" w:rsidRPr="00342A2D" w14:paraId="257B679E" w14:textId="77777777" w:rsidTr="00BD10ED">
        <w:trPr>
          <w:trHeight w:val="72"/>
        </w:trPr>
        <w:tc>
          <w:tcPr>
            <w:tcW w:w="1638" w:type="dxa"/>
          </w:tcPr>
          <w:p w14:paraId="1750AE06" w14:textId="77777777" w:rsidR="005526CB" w:rsidRPr="00342A2D" w:rsidRDefault="005526CB" w:rsidP="00BD10ED">
            <w:pPr>
              <w:pStyle w:val="NormalforTable"/>
            </w:pPr>
            <w:r w:rsidRPr="00342A2D">
              <w:t>Subject:</w:t>
            </w:r>
          </w:p>
        </w:tc>
        <w:tc>
          <w:tcPr>
            <w:tcW w:w="7830" w:type="dxa"/>
          </w:tcPr>
          <w:p w14:paraId="0D30D581" w14:textId="77777777" w:rsidR="005526CB" w:rsidRPr="00FB3754" w:rsidRDefault="005E449F" w:rsidP="00BD10ED">
            <w:pPr>
              <w:pStyle w:val="NormalforTable"/>
              <w:rPr>
                <w:b w:val="0"/>
                <w:bCs w:val="0"/>
              </w:rPr>
            </w:pPr>
            <w:r w:rsidRPr="00FB3754">
              <w:rPr>
                <w:b w:val="0"/>
                <w:bCs w:val="0"/>
              </w:rPr>
              <w:t>Unopposed Revision Requests Recommended by TAC for Approval</w:t>
            </w:r>
          </w:p>
        </w:tc>
      </w:tr>
      <w:bookmarkEnd w:id="0"/>
    </w:tbl>
    <w:p w14:paraId="0A42E341" w14:textId="77777777" w:rsidR="005526CB" w:rsidRPr="00780658" w:rsidRDefault="005526CB" w:rsidP="005526CB"/>
    <w:p w14:paraId="4314F9B3" w14:textId="77777777" w:rsidR="005526CB" w:rsidRPr="003F5BB4" w:rsidRDefault="005526CB" w:rsidP="005526CB">
      <w:pPr>
        <w:pStyle w:val="Heading2"/>
        <w:jc w:val="center"/>
      </w:pPr>
      <w:r w:rsidRPr="003F5BB4">
        <w:t>Issue for the ERCOT Board of Directors</w:t>
      </w:r>
    </w:p>
    <w:p w14:paraId="16BC0DA3" w14:textId="77777777" w:rsidR="005526CB" w:rsidRPr="00780658" w:rsidRDefault="005526CB" w:rsidP="005526CB">
      <w:pPr>
        <w:pStyle w:val="BulletIndent"/>
      </w:pPr>
    </w:p>
    <w:tbl>
      <w:tblPr>
        <w:tblW w:w="0" w:type="auto"/>
        <w:tblLook w:val="0000" w:firstRow="0" w:lastRow="0" w:firstColumn="0" w:lastColumn="0" w:noHBand="0" w:noVBand="0"/>
      </w:tblPr>
      <w:tblGrid>
        <w:gridCol w:w="9468"/>
      </w:tblGrid>
      <w:tr w:rsidR="005526CB" w:rsidRPr="00780658" w14:paraId="19CCBE31" w14:textId="77777777" w:rsidTr="00BD10ED">
        <w:trPr>
          <w:trHeight w:val="540"/>
        </w:trPr>
        <w:tc>
          <w:tcPr>
            <w:tcW w:w="9468" w:type="dxa"/>
            <w:tcBorders>
              <w:bottom w:val="nil"/>
            </w:tcBorders>
          </w:tcPr>
          <w:p w14:paraId="4763F63D" w14:textId="77777777" w:rsidR="005526CB" w:rsidRPr="00342A2D" w:rsidRDefault="005526CB" w:rsidP="00ED5715">
            <w:pPr>
              <w:pStyle w:val="BulletIndent"/>
              <w:jc w:val="both"/>
              <w:rPr>
                <w:rFonts w:ascii="Arial" w:hAnsi="Arial" w:cs="Arial"/>
                <w:b/>
                <w:bCs/>
              </w:rPr>
            </w:pPr>
            <w:r w:rsidRPr="00342A2D">
              <w:rPr>
                <w:rFonts w:ascii="Arial" w:hAnsi="Arial" w:cs="Arial"/>
                <w:b/>
                <w:bCs/>
              </w:rPr>
              <w:t xml:space="preserve">ERCOT Board of Directors Meeting Date: </w:t>
            </w:r>
            <w:r w:rsidR="00DA3DBA">
              <w:rPr>
                <w:rFonts w:ascii="Arial" w:hAnsi="Arial" w:cs="Arial"/>
                <w:b/>
                <w:bCs/>
              </w:rPr>
              <w:t xml:space="preserve"> </w:t>
            </w:r>
            <w:r w:rsidR="00DA3DBA" w:rsidRPr="00DA3DBA">
              <w:rPr>
                <w:rFonts w:ascii="Arial" w:hAnsi="Arial" w:cs="Arial"/>
              </w:rPr>
              <w:t>September 14 – 15, 2026</w:t>
            </w:r>
          </w:p>
          <w:p w14:paraId="60EA5BB3" w14:textId="0B3A6F59" w:rsidR="005526CB" w:rsidRPr="00780658" w:rsidRDefault="005526CB" w:rsidP="00ED5715">
            <w:pPr>
              <w:pStyle w:val="BulletIndent"/>
              <w:jc w:val="both"/>
              <w:rPr>
                <w:b/>
              </w:rPr>
            </w:pPr>
            <w:r w:rsidRPr="00342A2D">
              <w:rPr>
                <w:rFonts w:ascii="Arial" w:hAnsi="Arial" w:cs="Arial"/>
                <w:b/>
                <w:u w:val="single"/>
              </w:rPr>
              <w:t>Item No.:</w:t>
            </w:r>
            <w:r w:rsidRPr="00342A2D">
              <w:rPr>
                <w:rFonts w:ascii="Arial" w:hAnsi="Arial" w:cs="Arial"/>
              </w:rPr>
              <w:t xml:space="preserve"> </w:t>
            </w:r>
            <w:r w:rsidR="00B265DF">
              <w:rPr>
                <w:rFonts w:ascii="Arial" w:hAnsi="Arial" w:cs="Arial"/>
              </w:rPr>
              <w:t>16.1</w:t>
            </w:r>
          </w:p>
        </w:tc>
      </w:tr>
    </w:tbl>
    <w:p w14:paraId="5EA9214F" w14:textId="77777777" w:rsidR="005526CB" w:rsidRPr="00780658" w:rsidRDefault="005526CB" w:rsidP="00ED5715">
      <w:pPr>
        <w:jc w:val="both"/>
      </w:pPr>
    </w:p>
    <w:tbl>
      <w:tblPr>
        <w:tblStyle w:val="GridTable1Light-Accent2"/>
        <w:tblW w:w="0" w:type="auto"/>
        <w:tblLook w:val="0000" w:firstRow="0" w:lastRow="0" w:firstColumn="0" w:lastColumn="0" w:noHBand="0" w:noVBand="0"/>
      </w:tblPr>
      <w:tblGrid>
        <w:gridCol w:w="9468"/>
      </w:tblGrid>
      <w:tr w:rsidR="005526CB" w:rsidRPr="003F5BB4" w14:paraId="11D1746B" w14:textId="77777777" w:rsidTr="00BD10ED">
        <w:trPr>
          <w:trHeight w:val="365"/>
        </w:trPr>
        <w:tc>
          <w:tcPr>
            <w:tcW w:w="9468" w:type="dxa"/>
          </w:tcPr>
          <w:p w14:paraId="196FC6CB" w14:textId="2205B7FD" w:rsidR="005526CB" w:rsidRPr="00E77742" w:rsidRDefault="005526CB" w:rsidP="00ED5715">
            <w:pPr>
              <w:pStyle w:val="NormalforTable"/>
              <w:jc w:val="both"/>
              <w:rPr>
                <w:b w:val="0"/>
                <w:bCs w:val="0"/>
              </w:rPr>
            </w:pPr>
            <w:r w:rsidRPr="003F5BB4">
              <w:t>Issue:</w:t>
            </w:r>
            <w:r>
              <w:t xml:space="preserve"> </w:t>
            </w:r>
            <w:r w:rsidR="005E449F">
              <w:t xml:space="preserve"> </w:t>
            </w:r>
            <w:r w:rsidR="005E449F" w:rsidRPr="005E449F">
              <w:rPr>
                <w:b w:val="0"/>
                <w:bCs w:val="0"/>
              </w:rPr>
              <w:t>C</w:t>
            </w:r>
            <w:r w:rsidR="005E449F" w:rsidRPr="00E77742">
              <w:rPr>
                <w:b w:val="0"/>
                <w:bCs w:val="0"/>
              </w:rPr>
              <w:t xml:space="preserve">onsideration of the following Revision Requests: Nodal Protocol Revision Requests (NPRRs), </w:t>
            </w:r>
            <w:r w:rsidR="003A56BA" w:rsidRPr="00E77742">
              <w:rPr>
                <w:b w:val="0"/>
                <w:bCs w:val="0"/>
              </w:rPr>
              <w:t>Load Profiling Guide Revision Requests (LPGRRs)</w:t>
            </w:r>
            <w:r w:rsidR="003A56BA">
              <w:rPr>
                <w:b w:val="0"/>
                <w:bCs w:val="0"/>
              </w:rPr>
              <w:t xml:space="preserve">, </w:t>
            </w:r>
            <w:r w:rsidR="003A56BA" w:rsidRPr="00E77742">
              <w:rPr>
                <w:b w:val="0"/>
                <w:bCs w:val="0"/>
              </w:rPr>
              <w:t xml:space="preserve">Nodal Operating Guide Revision Requests (NOGRRs), </w:t>
            </w:r>
            <w:r w:rsidR="005E449F" w:rsidRPr="00E77742">
              <w:rPr>
                <w:b w:val="0"/>
                <w:bCs w:val="0"/>
              </w:rPr>
              <w:t xml:space="preserve">Planning Guide Revision Requests (PGRRs), Retail Market Guide Revision Requests (RMGRRs), </w:t>
            </w:r>
            <w:r w:rsidR="003A56BA" w:rsidRPr="00E77742">
              <w:rPr>
                <w:b w:val="0"/>
                <w:bCs w:val="0"/>
              </w:rPr>
              <w:t>Resource Registration Glossary Revision Request (RRGRR</w:t>
            </w:r>
            <w:r w:rsidR="003A56BA">
              <w:rPr>
                <w:b w:val="0"/>
                <w:bCs w:val="0"/>
              </w:rPr>
              <w:t xml:space="preserve">), </w:t>
            </w:r>
            <w:r w:rsidR="003A56BA" w:rsidRPr="00E77742">
              <w:rPr>
                <w:b w:val="0"/>
                <w:bCs w:val="0"/>
              </w:rPr>
              <w:t xml:space="preserve">Settlement Metering Operating Guide Revision Request (SMOGRR), </w:t>
            </w:r>
            <w:r w:rsidR="004742F3">
              <w:rPr>
                <w:b w:val="0"/>
                <w:bCs w:val="0"/>
              </w:rPr>
              <w:t xml:space="preserve">Commercial Operations Market Guide Revision Request (COPMGRR), </w:t>
            </w:r>
            <w:r w:rsidR="003A56BA" w:rsidRPr="00E77742">
              <w:rPr>
                <w:b w:val="0"/>
                <w:bCs w:val="0"/>
              </w:rPr>
              <w:t>and</w:t>
            </w:r>
            <w:r w:rsidR="003A56BA">
              <w:rPr>
                <w:b w:val="0"/>
                <w:bCs w:val="0"/>
              </w:rPr>
              <w:t xml:space="preserve"> </w:t>
            </w:r>
            <w:r w:rsidR="005E449F" w:rsidRPr="00E77742">
              <w:rPr>
                <w:b w:val="0"/>
                <w:bCs w:val="0"/>
              </w:rPr>
              <w:t>Verifiable Cost Manual Revision Request (VCMRR) (with no opposing votes recorded):</w:t>
            </w:r>
          </w:p>
          <w:p w14:paraId="702A0D38" w14:textId="77777777" w:rsidR="007921ED" w:rsidRPr="00E77742" w:rsidRDefault="007921ED" w:rsidP="00B9210B">
            <w:pPr>
              <w:pStyle w:val="NormalforTable"/>
              <w:jc w:val="both"/>
            </w:pPr>
          </w:p>
          <w:p w14:paraId="184A1562" w14:textId="77777777" w:rsidR="000D3CCA" w:rsidRDefault="00ED7A6A">
            <w:pPr>
              <w:pStyle w:val="ListParagraph"/>
              <w:numPr>
                <w:ilvl w:val="0"/>
                <w:numId w:val="25"/>
              </w:numPr>
              <w:spacing w:before="0" w:after="0" w:line="269" w:lineRule="auto"/>
              <w:contextualSpacing w:val="0"/>
              <w:jc w:val="both"/>
            </w:pPr>
            <w:r>
              <w:rPr>
                <w:rFonts w:eastAsia="Arial"/>
              </w:rPr>
              <w:t>NPRR1214, Reliability Deployment Price Adder Fix to Provide Locational Price Signals, Reduce Uplift and Risk</w:t>
            </w:r>
          </w:p>
          <w:p w14:paraId="6D2303C6" w14:textId="77777777" w:rsidR="000D3CCA" w:rsidRDefault="00ED7A6A">
            <w:pPr>
              <w:pStyle w:val="ListParagraph"/>
              <w:numPr>
                <w:ilvl w:val="0"/>
                <w:numId w:val="25"/>
              </w:numPr>
              <w:spacing w:before="0" w:after="0" w:line="269" w:lineRule="auto"/>
              <w:contextualSpacing w:val="0"/>
              <w:jc w:val="both"/>
            </w:pPr>
            <w:r>
              <w:rPr>
                <w:rFonts w:eastAsia="Arial"/>
              </w:rPr>
              <w:t>NPRR1286, Establish Multi-Value Criteria for Resiliency-Related Transmission Project Evaluation</w:t>
            </w:r>
          </w:p>
          <w:p w14:paraId="7354C574" w14:textId="77777777" w:rsidR="000D3CCA" w:rsidRDefault="00ED7A6A">
            <w:pPr>
              <w:pStyle w:val="ListParagraph"/>
              <w:numPr>
                <w:ilvl w:val="0"/>
                <w:numId w:val="25"/>
              </w:numPr>
              <w:spacing w:before="0" w:after="0" w:line="269" w:lineRule="auto"/>
              <w:contextualSpacing w:val="0"/>
              <w:jc w:val="both"/>
            </w:pPr>
            <w:r>
              <w:rPr>
                <w:rFonts w:eastAsia="Arial"/>
              </w:rPr>
              <w:t>NPRR1292, Granular Product Type for CRR TOU</w:t>
            </w:r>
          </w:p>
          <w:p w14:paraId="1627DD2B" w14:textId="77777777" w:rsidR="000D3CCA" w:rsidRDefault="00ED7A6A">
            <w:pPr>
              <w:pStyle w:val="ListParagraph"/>
              <w:numPr>
                <w:ilvl w:val="0"/>
                <w:numId w:val="25"/>
              </w:numPr>
              <w:spacing w:before="0" w:after="0" w:line="269" w:lineRule="auto"/>
              <w:contextualSpacing w:val="0"/>
              <w:jc w:val="both"/>
            </w:pPr>
            <w:r>
              <w:rPr>
                <w:rFonts w:eastAsia="Arial"/>
              </w:rPr>
              <w:t>NPRR1301, Align Protocols to Constraint Activation Procedure</w:t>
            </w:r>
          </w:p>
          <w:p w14:paraId="125C6F00" w14:textId="77777777" w:rsidR="000D3CCA" w:rsidRDefault="00ED7A6A">
            <w:pPr>
              <w:pStyle w:val="ListParagraph"/>
              <w:numPr>
                <w:ilvl w:val="0"/>
                <w:numId w:val="25"/>
              </w:numPr>
              <w:spacing w:before="0" w:after="0" w:line="269" w:lineRule="auto"/>
              <w:contextualSpacing w:val="0"/>
              <w:jc w:val="both"/>
            </w:pPr>
            <w:r>
              <w:rPr>
                <w:rFonts w:eastAsia="Arial"/>
              </w:rPr>
              <w:t>NPRR1319, Clarification to Seasonal Mothball Evaluation Process</w:t>
            </w:r>
          </w:p>
          <w:p w14:paraId="7F1B0533" w14:textId="77777777" w:rsidR="000D3CCA" w:rsidRDefault="00ED7A6A">
            <w:pPr>
              <w:pStyle w:val="ListParagraph"/>
              <w:numPr>
                <w:ilvl w:val="0"/>
                <w:numId w:val="25"/>
              </w:numPr>
              <w:spacing w:before="0" w:after="0" w:line="269" w:lineRule="auto"/>
              <w:contextualSpacing w:val="0"/>
              <w:jc w:val="both"/>
            </w:pPr>
            <w:r>
              <w:rPr>
                <w:rFonts w:eastAsia="Arial"/>
              </w:rPr>
              <w:t>NPRR1320, Reserve Margin Reporting and Miscellaneous Changes for the Report on Capacity, Demand, and Reserves in the ERCOT Region (CDR)</w:t>
            </w:r>
          </w:p>
          <w:p w14:paraId="4AA36A31" w14:textId="77777777" w:rsidR="000D3CCA" w:rsidRDefault="00ED7A6A">
            <w:pPr>
              <w:pStyle w:val="ListParagraph"/>
              <w:numPr>
                <w:ilvl w:val="0"/>
                <w:numId w:val="25"/>
              </w:numPr>
              <w:spacing w:before="0" w:after="0" w:line="269" w:lineRule="auto"/>
              <w:contextualSpacing w:val="0"/>
              <w:jc w:val="both"/>
            </w:pPr>
            <w:r>
              <w:rPr>
                <w:rFonts w:eastAsia="Arial"/>
              </w:rPr>
              <w:t>NPRR1326, Add Energy Storage Resource (ESR) State of Charge (SOC) Information to the Ancillary Services Capacity Monitor</w:t>
            </w:r>
          </w:p>
          <w:p w14:paraId="7A2DAC98" w14:textId="77777777" w:rsidR="000D3CCA" w:rsidRDefault="00ED7A6A">
            <w:pPr>
              <w:pStyle w:val="ListParagraph"/>
              <w:numPr>
                <w:ilvl w:val="0"/>
                <w:numId w:val="25"/>
              </w:numPr>
              <w:spacing w:before="0" w:after="0" w:line="269" w:lineRule="auto"/>
              <w:contextualSpacing w:val="0"/>
              <w:jc w:val="both"/>
            </w:pPr>
            <w:r>
              <w:rPr>
                <w:rFonts w:eastAsia="Arial"/>
              </w:rPr>
              <w:t>NPRR1328, Establishment of Generation Firming Program</w:t>
            </w:r>
          </w:p>
          <w:p w14:paraId="45433868" w14:textId="77777777" w:rsidR="000D3CCA" w:rsidRDefault="00ED7A6A">
            <w:pPr>
              <w:pStyle w:val="ListParagraph"/>
              <w:numPr>
                <w:ilvl w:val="0"/>
                <w:numId w:val="25"/>
              </w:numPr>
              <w:spacing w:before="0" w:after="0" w:line="269" w:lineRule="auto"/>
              <w:contextualSpacing w:val="0"/>
              <w:jc w:val="both"/>
            </w:pPr>
            <w:r>
              <w:rPr>
                <w:rFonts w:eastAsia="Arial"/>
              </w:rPr>
              <w:t>NPRR1329, Resource Entity Requirements for Self-Limiting Facilities</w:t>
            </w:r>
          </w:p>
          <w:p w14:paraId="3ED7CAEB" w14:textId="77777777" w:rsidR="000D3CCA" w:rsidRDefault="00ED7A6A">
            <w:pPr>
              <w:pStyle w:val="ListParagraph"/>
              <w:numPr>
                <w:ilvl w:val="0"/>
                <w:numId w:val="25"/>
              </w:numPr>
              <w:spacing w:before="0" w:after="0" w:line="269" w:lineRule="auto"/>
              <w:contextualSpacing w:val="0"/>
              <w:jc w:val="both"/>
            </w:pPr>
            <w:r>
              <w:rPr>
                <w:rFonts w:eastAsia="Arial"/>
              </w:rPr>
              <w:t>NPRR1331, Unannounced Generation Capacity Testing</w:t>
            </w:r>
          </w:p>
          <w:p w14:paraId="77906ABD" w14:textId="77777777" w:rsidR="000D3CCA" w:rsidRDefault="00ED7A6A">
            <w:pPr>
              <w:pStyle w:val="ListParagraph"/>
              <w:numPr>
                <w:ilvl w:val="0"/>
                <w:numId w:val="25"/>
              </w:numPr>
              <w:spacing w:before="0" w:after="0" w:line="269" w:lineRule="auto"/>
              <w:contextualSpacing w:val="0"/>
              <w:jc w:val="both"/>
            </w:pPr>
            <w:r>
              <w:rPr>
                <w:rFonts w:eastAsia="Arial"/>
              </w:rPr>
              <w:t>NPRR1335, Implementation of PUCT Changes to Firm Fuel Supply Service for Phase 3</w:t>
            </w:r>
          </w:p>
          <w:p w14:paraId="7A5BDEE6" w14:textId="77777777" w:rsidR="000D3CCA" w:rsidRDefault="00ED7A6A">
            <w:pPr>
              <w:pStyle w:val="ListParagraph"/>
              <w:numPr>
                <w:ilvl w:val="0"/>
                <w:numId w:val="25"/>
              </w:numPr>
              <w:spacing w:before="0" w:after="0" w:line="269" w:lineRule="auto"/>
              <w:contextualSpacing w:val="0"/>
              <w:jc w:val="both"/>
            </w:pPr>
            <w:r>
              <w:rPr>
                <w:rFonts w:eastAsia="Arial"/>
              </w:rPr>
              <w:t>NPRR1336, Language Clean-up for NPRR1188 Implementation</w:t>
            </w:r>
          </w:p>
          <w:p w14:paraId="318322B4" w14:textId="77777777" w:rsidR="000D3CCA" w:rsidRDefault="00ED7A6A">
            <w:pPr>
              <w:pStyle w:val="ListParagraph"/>
              <w:numPr>
                <w:ilvl w:val="0"/>
                <w:numId w:val="25"/>
              </w:numPr>
              <w:spacing w:before="0" w:after="0" w:line="269" w:lineRule="auto"/>
              <w:contextualSpacing w:val="0"/>
              <w:jc w:val="both"/>
            </w:pPr>
            <w:r>
              <w:rPr>
                <w:rFonts w:eastAsia="Arial"/>
              </w:rPr>
              <w:t>NPRR1337, ERS Enhancements</w:t>
            </w:r>
          </w:p>
          <w:p w14:paraId="0ED724B1" w14:textId="77777777" w:rsidR="000D3CCA" w:rsidRDefault="00ED7A6A">
            <w:pPr>
              <w:pStyle w:val="ListParagraph"/>
              <w:numPr>
                <w:ilvl w:val="0"/>
                <w:numId w:val="25"/>
              </w:numPr>
              <w:spacing w:before="0" w:after="0" w:line="269" w:lineRule="auto"/>
              <w:contextualSpacing w:val="0"/>
              <w:jc w:val="both"/>
            </w:pPr>
            <w:r>
              <w:rPr>
                <w:rFonts w:eastAsia="Arial"/>
              </w:rPr>
              <w:lastRenderedPageBreak/>
              <w:t>NPRR1338, Restructure Long-Term Auction Sequence Auctions to Six Monthly Optimizations</w:t>
            </w:r>
          </w:p>
          <w:p w14:paraId="6EA750D9" w14:textId="77777777" w:rsidR="000D3CCA" w:rsidRDefault="00ED7A6A">
            <w:pPr>
              <w:pStyle w:val="ListParagraph"/>
              <w:numPr>
                <w:ilvl w:val="0"/>
                <w:numId w:val="25"/>
              </w:numPr>
              <w:spacing w:before="0" w:after="0" w:line="269" w:lineRule="auto"/>
              <w:contextualSpacing w:val="0"/>
              <w:jc w:val="both"/>
            </w:pPr>
            <w:r>
              <w:rPr>
                <w:rFonts w:eastAsia="Arial"/>
              </w:rPr>
              <w:t>NPRR1339, Protocol Clean Up and Alignment with RTC+B Implementation</w:t>
            </w:r>
          </w:p>
          <w:p w14:paraId="23D577AA" w14:textId="77777777" w:rsidR="000D3CCA" w:rsidRDefault="00ED7A6A">
            <w:pPr>
              <w:pStyle w:val="ListParagraph"/>
              <w:numPr>
                <w:ilvl w:val="0"/>
                <w:numId w:val="25"/>
              </w:numPr>
              <w:spacing w:before="0" w:after="0" w:line="269" w:lineRule="auto"/>
              <w:contextualSpacing w:val="0"/>
              <w:jc w:val="both"/>
            </w:pPr>
            <w:r>
              <w:rPr>
                <w:rFonts w:eastAsia="Arial"/>
              </w:rPr>
              <w:t>NPRR1341, Related to LPGRR077, Profile Decision Tree Excel-to-Word Conversion</w:t>
            </w:r>
          </w:p>
          <w:p w14:paraId="4F5C7EB6" w14:textId="34100782" w:rsidR="000D3CCA" w:rsidRDefault="00ED7A6A">
            <w:pPr>
              <w:pStyle w:val="ListParagraph"/>
              <w:numPr>
                <w:ilvl w:val="0"/>
                <w:numId w:val="25"/>
              </w:numPr>
              <w:spacing w:before="0" w:after="0" w:line="269" w:lineRule="auto"/>
              <w:contextualSpacing w:val="0"/>
              <w:jc w:val="both"/>
            </w:pPr>
            <w:r>
              <w:rPr>
                <w:rFonts w:eastAsia="Arial"/>
              </w:rPr>
              <w:t>NPRR1342, Mitigated Offer Caps for Contract for Capacity Resources</w:t>
            </w:r>
            <w:r w:rsidR="0067651A">
              <w:rPr>
                <w:rFonts w:eastAsia="Arial"/>
              </w:rPr>
              <w:t xml:space="preserve"> </w:t>
            </w:r>
            <w:r w:rsidR="0067651A">
              <w:t xml:space="preserve">– </w:t>
            </w:r>
            <w:r w:rsidR="0067651A" w:rsidRPr="009D74DA">
              <w:t>URGENT</w:t>
            </w:r>
          </w:p>
          <w:p w14:paraId="2A75F0AC" w14:textId="2E33001F" w:rsidR="000D3CCA" w:rsidRDefault="00ED7A6A">
            <w:pPr>
              <w:pStyle w:val="ListParagraph"/>
              <w:numPr>
                <w:ilvl w:val="0"/>
                <w:numId w:val="25"/>
              </w:numPr>
              <w:spacing w:before="0" w:after="0" w:line="269" w:lineRule="auto"/>
              <w:contextualSpacing w:val="0"/>
              <w:jc w:val="both"/>
            </w:pPr>
            <w:r>
              <w:rPr>
                <w:rFonts w:eastAsia="Arial"/>
              </w:rPr>
              <w:t>NPRR1344, Move OBD to Section 19 – Texas Market Test Plan</w:t>
            </w:r>
            <w:r w:rsidR="0067651A">
              <w:rPr>
                <w:rFonts w:eastAsia="Arial"/>
              </w:rPr>
              <w:t xml:space="preserve"> </w:t>
            </w:r>
            <w:r w:rsidR="0067651A">
              <w:t xml:space="preserve">– </w:t>
            </w:r>
            <w:r w:rsidR="0067651A" w:rsidRPr="009D74DA">
              <w:t>URGENT</w:t>
            </w:r>
          </w:p>
          <w:p w14:paraId="0E4C3E60" w14:textId="77777777" w:rsidR="000105AF" w:rsidRDefault="000105AF" w:rsidP="000105AF">
            <w:pPr>
              <w:pStyle w:val="ListParagraph"/>
              <w:numPr>
                <w:ilvl w:val="0"/>
                <w:numId w:val="25"/>
              </w:numPr>
              <w:spacing w:before="0" w:after="0" w:line="269" w:lineRule="auto"/>
              <w:contextualSpacing w:val="0"/>
              <w:jc w:val="both"/>
            </w:pPr>
            <w:r>
              <w:rPr>
                <w:rFonts w:eastAsia="Arial"/>
              </w:rPr>
              <w:t>COPMGRR051, Related to NPRR1264, Creation of a New Energy Attribute Certificate Program</w:t>
            </w:r>
          </w:p>
          <w:p w14:paraId="1FA72E66" w14:textId="77777777" w:rsidR="008E114B" w:rsidRDefault="008E114B" w:rsidP="008E114B">
            <w:pPr>
              <w:pStyle w:val="ListParagraph"/>
              <w:numPr>
                <w:ilvl w:val="0"/>
                <w:numId w:val="25"/>
              </w:numPr>
              <w:spacing w:before="0" w:after="0" w:line="269" w:lineRule="auto"/>
              <w:contextualSpacing w:val="0"/>
              <w:jc w:val="both"/>
            </w:pPr>
            <w:r>
              <w:rPr>
                <w:rFonts w:eastAsia="Arial"/>
              </w:rPr>
              <w:t>LPGRR076, Related to NPRR1264, Creation of a New Energy Attribute Certificate Program</w:t>
            </w:r>
          </w:p>
          <w:p w14:paraId="6BABD01E" w14:textId="77777777" w:rsidR="008E114B" w:rsidRDefault="008E114B" w:rsidP="008E114B">
            <w:pPr>
              <w:pStyle w:val="ListParagraph"/>
              <w:numPr>
                <w:ilvl w:val="0"/>
                <w:numId w:val="25"/>
              </w:numPr>
              <w:spacing w:before="0" w:after="0" w:line="269" w:lineRule="auto"/>
              <w:contextualSpacing w:val="0"/>
              <w:jc w:val="both"/>
            </w:pPr>
            <w:r>
              <w:rPr>
                <w:rFonts w:eastAsia="Arial"/>
              </w:rPr>
              <w:t>LPGRR077, Profile Decision Tree Excel-to-Word Conversion</w:t>
            </w:r>
          </w:p>
          <w:p w14:paraId="523ABA88" w14:textId="77777777" w:rsidR="008E114B" w:rsidRDefault="008E114B" w:rsidP="008E114B">
            <w:pPr>
              <w:pStyle w:val="ListParagraph"/>
              <w:numPr>
                <w:ilvl w:val="0"/>
                <w:numId w:val="25"/>
              </w:numPr>
              <w:spacing w:before="0" w:after="0" w:line="269" w:lineRule="auto"/>
              <w:contextualSpacing w:val="0"/>
              <w:jc w:val="both"/>
            </w:pPr>
            <w:r>
              <w:rPr>
                <w:rFonts w:eastAsia="Arial"/>
              </w:rPr>
              <w:t>NOGRR273, Related to NPRR1264, Creation of a New Energy Attribute Certificate Program</w:t>
            </w:r>
          </w:p>
          <w:p w14:paraId="34072471" w14:textId="77777777" w:rsidR="000D3CCA" w:rsidRDefault="00ED7A6A">
            <w:pPr>
              <w:pStyle w:val="ListParagraph"/>
              <w:numPr>
                <w:ilvl w:val="0"/>
                <w:numId w:val="25"/>
              </w:numPr>
              <w:spacing w:before="0" w:after="0" w:line="269" w:lineRule="auto"/>
              <w:contextualSpacing w:val="0"/>
              <w:jc w:val="both"/>
            </w:pPr>
            <w:r>
              <w:rPr>
                <w:rFonts w:eastAsia="Arial"/>
              </w:rPr>
              <w:t>NOGRR286, Addition of 765-kV Operational Voltage Limits</w:t>
            </w:r>
          </w:p>
          <w:p w14:paraId="110DE343" w14:textId="77777777" w:rsidR="000D3CCA" w:rsidRDefault="00ED7A6A">
            <w:pPr>
              <w:pStyle w:val="ListParagraph"/>
              <w:numPr>
                <w:ilvl w:val="0"/>
                <w:numId w:val="25"/>
              </w:numPr>
              <w:spacing w:before="0" w:after="0" w:line="269" w:lineRule="auto"/>
              <w:contextualSpacing w:val="0"/>
              <w:jc w:val="both"/>
            </w:pPr>
            <w:r>
              <w:rPr>
                <w:rFonts w:eastAsia="Arial"/>
              </w:rPr>
              <w:t>NOGRR287, Load Shed Provisions to Identify and Minimize Overlap of Essential Loads</w:t>
            </w:r>
          </w:p>
          <w:p w14:paraId="1A53368F" w14:textId="77777777" w:rsidR="008E114B" w:rsidRDefault="008E114B" w:rsidP="008E114B">
            <w:pPr>
              <w:pStyle w:val="ListParagraph"/>
              <w:numPr>
                <w:ilvl w:val="0"/>
                <w:numId w:val="25"/>
              </w:numPr>
              <w:spacing w:before="0" w:after="0" w:line="269" w:lineRule="auto"/>
              <w:contextualSpacing w:val="0"/>
              <w:jc w:val="both"/>
            </w:pPr>
            <w:r>
              <w:rPr>
                <w:rFonts w:eastAsia="Arial"/>
              </w:rPr>
              <w:t>PGRR123, Related to NPRR1264, Creation of a New Energy Attribute Certificate Program</w:t>
            </w:r>
          </w:p>
          <w:p w14:paraId="0560DA67" w14:textId="77777777" w:rsidR="008E114B" w:rsidRDefault="008E114B" w:rsidP="008E114B">
            <w:pPr>
              <w:pStyle w:val="ListParagraph"/>
              <w:numPr>
                <w:ilvl w:val="0"/>
                <w:numId w:val="25"/>
              </w:numPr>
              <w:spacing w:before="0" w:after="0" w:line="269" w:lineRule="auto"/>
              <w:contextualSpacing w:val="0"/>
              <w:jc w:val="both"/>
            </w:pPr>
            <w:r>
              <w:rPr>
                <w:rFonts w:eastAsia="Arial"/>
              </w:rPr>
              <w:t>PGRR128, Regional Planning Group Discussion of Grid Enhancing Technologies</w:t>
            </w:r>
          </w:p>
          <w:p w14:paraId="5CD43D81" w14:textId="77777777" w:rsidR="000D3CCA" w:rsidRDefault="00ED7A6A">
            <w:pPr>
              <w:pStyle w:val="ListParagraph"/>
              <w:numPr>
                <w:ilvl w:val="0"/>
                <w:numId w:val="25"/>
              </w:numPr>
              <w:spacing w:before="0" w:after="0" w:line="269" w:lineRule="auto"/>
              <w:contextualSpacing w:val="0"/>
              <w:jc w:val="both"/>
            </w:pPr>
            <w:r>
              <w:rPr>
                <w:rFonts w:eastAsia="Arial"/>
              </w:rPr>
              <w:t>RMGRR182, Related to NPRR1264, Creation of a New Energy Attribute Certificate Program</w:t>
            </w:r>
          </w:p>
          <w:p w14:paraId="55487898" w14:textId="77777777" w:rsidR="000D3CCA" w:rsidRDefault="00ED7A6A">
            <w:pPr>
              <w:pStyle w:val="ListParagraph"/>
              <w:numPr>
                <w:ilvl w:val="0"/>
                <w:numId w:val="25"/>
              </w:numPr>
              <w:spacing w:before="0" w:after="0" w:line="269" w:lineRule="auto"/>
              <w:contextualSpacing w:val="0"/>
              <w:jc w:val="both"/>
            </w:pPr>
            <w:r>
              <w:rPr>
                <w:rFonts w:eastAsia="Arial"/>
              </w:rPr>
              <w:t>RMGRR186, Related to LPGRR077, Profile Decision Tree Excel-to-Word Conversion</w:t>
            </w:r>
          </w:p>
          <w:p w14:paraId="174FF070" w14:textId="77777777" w:rsidR="008E114B" w:rsidRDefault="008E114B" w:rsidP="008E114B">
            <w:pPr>
              <w:pStyle w:val="ListParagraph"/>
              <w:numPr>
                <w:ilvl w:val="0"/>
                <w:numId w:val="25"/>
              </w:numPr>
              <w:spacing w:before="0" w:after="0" w:line="269" w:lineRule="auto"/>
              <w:contextualSpacing w:val="0"/>
              <w:jc w:val="both"/>
            </w:pPr>
            <w:r>
              <w:rPr>
                <w:rFonts w:eastAsia="Arial"/>
              </w:rPr>
              <w:t>RRGRR038, Related to NPRR1264, Creation of a New Energy Attribute Certificate Program</w:t>
            </w:r>
          </w:p>
          <w:p w14:paraId="69FEA7A3" w14:textId="77777777" w:rsidR="000D3CCA" w:rsidRDefault="00ED7A6A">
            <w:pPr>
              <w:pStyle w:val="ListParagraph"/>
              <w:numPr>
                <w:ilvl w:val="0"/>
                <w:numId w:val="25"/>
              </w:numPr>
              <w:spacing w:before="0" w:after="0" w:line="269" w:lineRule="auto"/>
              <w:contextualSpacing w:val="0"/>
              <w:jc w:val="both"/>
            </w:pPr>
            <w:r>
              <w:rPr>
                <w:rFonts w:eastAsia="Arial"/>
              </w:rPr>
              <w:t>SMOGRR031, Related to NPRR1264, Creation of a New Energy Attribute Certificate Program</w:t>
            </w:r>
          </w:p>
          <w:p w14:paraId="3B746745" w14:textId="77777777" w:rsidR="008E114B" w:rsidRDefault="008E114B" w:rsidP="008E114B">
            <w:pPr>
              <w:pStyle w:val="ListParagraph"/>
              <w:numPr>
                <w:ilvl w:val="0"/>
                <w:numId w:val="25"/>
              </w:numPr>
              <w:spacing w:before="0" w:after="0" w:line="269" w:lineRule="auto"/>
              <w:contextualSpacing w:val="0"/>
              <w:jc w:val="both"/>
            </w:pPr>
            <w:r>
              <w:rPr>
                <w:rFonts w:eastAsia="Arial"/>
              </w:rPr>
              <w:t>VCMRR043, Related to NPRR1264, Creation of a New Energy Attribute Certificate Program</w:t>
            </w:r>
          </w:p>
          <w:p w14:paraId="583F5CA1" w14:textId="77777777" w:rsidR="005E449F" w:rsidRPr="005E449F" w:rsidRDefault="005E449F" w:rsidP="008E114B">
            <w:pPr>
              <w:pStyle w:val="ListParagraph"/>
              <w:spacing w:before="0" w:after="0" w:line="269" w:lineRule="auto"/>
              <w:ind w:left="720" w:firstLine="0"/>
              <w:contextualSpacing w:val="0"/>
              <w:jc w:val="both"/>
            </w:pPr>
          </w:p>
        </w:tc>
      </w:tr>
      <w:tr w:rsidR="005526CB" w:rsidRPr="003F5BB4" w14:paraId="77F8B30C" w14:textId="77777777" w:rsidTr="00BD10ED">
        <w:trPr>
          <w:trHeight w:val="214"/>
        </w:trPr>
        <w:tc>
          <w:tcPr>
            <w:tcW w:w="9468" w:type="dxa"/>
          </w:tcPr>
          <w:p w14:paraId="2B6BDDE0" w14:textId="77777777" w:rsidR="005526CB" w:rsidRDefault="005526CB" w:rsidP="00ED5715">
            <w:pPr>
              <w:pStyle w:val="NormalforTable"/>
              <w:jc w:val="both"/>
            </w:pPr>
            <w:r w:rsidRPr="003F5BB4">
              <w:lastRenderedPageBreak/>
              <w:t>Background/History:</w:t>
            </w:r>
            <w:r>
              <w:t xml:space="preserve"> </w:t>
            </w:r>
          </w:p>
          <w:p w14:paraId="642BAC45" w14:textId="77777777" w:rsidR="005E449F" w:rsidRDefault="005E449F" w:rsidP="00717B24">
            <w:pPr>
              <w:pStyle w:val="NormalforTable"/>
              <w:spacing w:line="240" w:lineRule="auto"/>
              <w:jc w:val="both"/>
              <w:rPr>
                <w:b w:val="0"/>
                <w:bCs w:val="0"/>
              </w:rPr>
            </w:pPr>
            <w:r w:rsidRPr="005E449F">
              <w:rPr>
                <w:b w:val="0"/>
                <w:bCs w:val="0"/>
              </w:rPr>
              <w:t>Unless otherwise noted: (</w:t>
            </w:r>
            <w:proofErr w:type="spellStart"/>
            <w:r w:rsidRPr="005E449F">
              <w:rPr>
                <w:b w:val="0"/>
                <w:bCs w:val="0"/>
              </w:rPr>
              <w:t>i</w:t>
            </w:r>
            <w:proofErr w:type="spellEnd"/>
            <w:r w:rsidRPr="005E449F">
              <w:rPr>
                <w:b w:val="0"/>
                <w:bCs w:val="0"/>
              </w:rPr>
              <w:t>) all Market Segments participated in each vote; (ii) for NPRRs, ERCOT Credit Staff and the Credit Finance Sub Group (CFSG) have reviewed the NPRR and do not believe it requires changes to credit monitoring activity or the calculation of liability. Board Review is required of all TAC Reports and Impact Analyses (Protocol Section 21.3.10)</w:t>
            </w:r>
          </w:p>
          <w:p w14:paraId="7A7CC15C" w14:textId="77777777" w:rsidR="00051DBC" w:rsidRDefault="00051DBC" w:rsidP="00ED5715">
            <w:pPr>
              <w:pStyle w:val="NormalforTable"/>
              <w:jc w:val="both"/>
              <w:rPr>
                <w:b w:val="0"/>
                <w:bCs w:val="0"/>
              </w:rPr>
            </w:pPr>
          </w:p>
          <w:p w14:paraId="1F12CEA6" w14:textId="77777777" w:rsidR="000D3CCA" w:rsidRDefault="00ED7A6A">
            <w:pPr>
              <w:pStyle w:val="ListParagraph"/>
              <w:numPr>
                <w:ilvl w:val="0"/>
                <w:numId w:val="25"/>
              </w:numPr>
              <w:spacing w:before="0" w:after="0" w:line="240" w:lineRule="auto"/>
              <w:ind w:left="360"/>
              <w:contextualSpacing w:val="0"/>
              <w:jc w:val="both"/>
            </w:pPr>
            <w:hyperlink r:id="rId12" w:history="1">
              <w:r>
                <w:rPr>
                  <w:rStyle w:val="Hyperlink"/>
                  <w:rFonts w:eastAsia="Arial"/>
                  <w:b/>
                  <w:bCs/>
                  <w:i/>
                  <w:iCs/>
                </w:rPr>
                <w:t>NPRR1214, Reliability Deployment Price Adder Fix to Provide Locational Price Signals, Reduce Uplift and Risk</w:t>
              </w:r>
            </w:hyperlink>
          </w:p>
          <w:p w14:paraId="2F8E8342" w14:textId="31C9C514" w:rsidR="000D3CCA" w:rsidRDefault="00ED7A6A">
            <w:pPr>
              <w:spacing w:before="0" w:after="0" w:line="240" w:lineRule="auto"/>
              <w:ind w:left="360"/>
              <w:jc w:val="both"/>
            </w:pPr>
            <w:r>
              <w:rPr>
                <w:rFonts w:eastAsia="Arial"/>
                <w:b/>
                <w:bCs/>
              </w:rPr>
              <w:t xml:space="preserve">Sponsor:  </w:t>
            </w:r>
            <w:r w:rsidR="00C56FA6">
              <w:rPr>
                <w:rFonts w:eastAsia="Arial"/>
              </w:rPr>
              <w:t>Rainbow</w:t>
            </w:r>
            <w:r>
              <w:rPr>
                <w:rFonts w:eastAsia="Arial"/>
              </w:rPr>
              <w:t xml:space="preserve"> Energy Marketing Corporation, DC Energy, Hunt Energy Network, </w:t>
            </w:r>
            <w:proofErr w:type="spellStart"/>
            <w:r>
              <w:rPr>
                <w:rFonts w:eastAsia="Arial"/>
              </w:rPr>
              <w:t>Voltus</w:t>
            </w:r>
            <w:proofErr w:type="spellEnd"/>
            <w:r>
              <w:rPr>
                <w:rFonts w:eastAsia="Arial"/>
              </w:rPr>
              <w:t>, Inc. (“Joint Sponsors”)</w:t>
            </w:r>
          </w:p>
          <w:p w14:paraId="094E435C" w14:textId="77777777" w:rsidR="000D3CCA" w:rsidRDefault="00ED7A6A">
            <w:pPr>
              <w:spacing w:before="0" w:after="0" w:line="240" w:lineRule="auto"/>
              <w:ind w:left="360"/>
              <w:jc w:val="both"/>
            </w:pPr>
            <w:r>
              <w:rPr>
                <w:rFonts w:eastAsia="Arial"/>
                <w:b/>
                <w:bCs/>
              </w:rPr>
              <w:t xml:space="preserve">Revision Description:  </w:t>
            </w:r>
            <w:r>
              <w:rPr>
                <w:rFonts w:eastAsia="Arial"/>
              </w:rPr>
              <w:t>This NPRR revises the Real-Time On-Line Reliability Deployment Price Adder (RTRDPA) to send appropriate locational price signals that avoid counterproductive Load and Resource responses under Real-Time Co-optimization (RTC); limit Resource payments to the actual indifference payment, thereby reducing associated uplift; eliminate the future need for Ancillary Service Imbalance Payment/Charge (ASIP/C)-type indifference payments associated with RTRDPA; provide Resources an indifference payment under RTC to eliminate the incentive to ignore Base Point instructions; and provide a stronger locational price signal around Resources committed by the Reliability Unit Commitment (RUC) process or other reliability actions for congestion.</w:t>
            </w:r>
          </w:p>
          <w:p w14:paraId="60646709" w14:textId="4DABC9FD" w:rsidR="00C56FA6" w:rsidRDefault="00ED7A6A">
            <w:pPr>
              <w:spacing w:before="0" w:after="0" w:line="240" w:lineRule="auto"/>
              <w:ind w:left="360"/>
              <w:jc w:val="both"/>
              <w:rPr>
                <w:rFonts w:eastAsia="Arial"/>
              </w:rPr>
            </w:pPr>
            <w:hyperlink r:id="rId13" w:history="1">
              <w:r>
                <w:rPr>
                  <w:rStyle w:val="Hyperlink"/>
                  <w:rFonts w:eastAsia="Arial"/>
                  <w:b/>
                  <w:bCs/>
                </w:rPr>
                <w:t>Impact Analysis</w:t>
              </w:r>
            </w:hyperlink>
            <w:r>
              <w:rPr>
                <w:rFonts w:eastAsia="Arial"/>
                <w:b/>
                <w:bCs/>
              </w:rPr>
              <w:t xml:space="preserve">:  </w:t>
            </w:r>
            <w:r>
              <w:rPr>
                <w:rFonts w:eastAsia="Arial"/>
              </w:rPr>
              <w:t>Between $900K</w:t>
            </w:r>
            <w:r w:rsidR="00DD418A">
              <w:rPr>
                <w:rFonts w:eastAsia="Arial"/>
              </w:rPr>
              <w:t xml:space="preserve"> and</w:t>
            </w:r>
            <w:r>
              <w:rPr>
                <w:rFonts w:eastAsia="Arial"/>
              </w:rPr>
              <w:t xml:space="preserve"> $1.2M </w:t>
            </w:r>
          </w:p>
          <w:p w14:paraId="1A7AE5BC" w14:textId="5E34E37D"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AD58F3">
              <w:rPr>
                <w:rFonts w:eastAsia="Arial"/>
              </w:rPr>
              <w:t xml:space="preserve"> </w:t>
            </w:r>
            <w:r w:rsidR="00AD58F3" w:rsidRPr="00AD58F3">
              <w:rPr>
                <w:rFonts w:eastAsia="Arial"/>
              </w:rPr>
              <w:t>–</w:t>
            </w:r>
            <w:r w:rsidR="00AD58F3">
              <w:rPr>
                <w:rFonts w:eastAsia="Arial"/>
              </w:rPr>
              <w:t xml:space="preserve"> </w:t>
            </w:r>
            <w:r w:rsidR="00AD58F3" w:rsidRPr="00AD58F3">
              <w:rPr>
                <w:rFonts w:eastAsia="Arial"/>
              </w:rPr>
              <w:t>Priority 2027; Rank 4940</w:t>
            </w:r>
          </w:p>
          <w:p w14:paraId="77CC1172" w14:textId="180B39B2" w:rsidR="000D3CCA" w:rsidRDefault="00ED7A6A">
            <w:pPr>
              <w:spacing w:before="0" w:after="0" w:line="240" w:lineRule="auto"/>
              <w:ind w:left="360"/>
              <w:jc w:val="both"/>
            </w:pPr>
            <w:hyperlink r:id="rId14" w:history="1">
              <w:r w:rsidRPr="003A56BA">
                <w:rPr>
                  <w:rStyle w:val="Hyperlink"/>
                  <w:rFonts w:eastAsia="Arial"/>
                  <w:b/>
                  <w:bCs/>
                </w:rPr>
                <w:t>TAC Report</w:t>
              </w:r>
            </w:hyperlink>
            <w:r>
              <w:rPr>
                <w:rFonts w:eastAsia="Arial"/>
                <w:b/>
                <w:bCs/>
              </w:rPr>
              <w:t xml:space="preserve">/Decision:  </w:t>
            </w:r>
            <w:r w:rsidR="00AD58F3" w:rsidRPr="00AD58F3">
              <w:rPr>
                <w:rFonts w:eastAsia="Arial"/>
              </w:rPr>
              <w:t>On 8/26/26, TAC voted unanimously to recommend approval of NPRR1214 as recommended by PRS in the 8/12/26 PRS Report.</w:t>
            </w:r>
          </w:p>
          <w:p w14:paraId="6AC62C6F"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NPRR1214.</w:t>
            </w:r>
          </w:p>
          <w:p w14:paraId="4FA39F6D" w14:textId="046BA331" w:rsidR="000D3CCA" w:rsidRDefault="00ED7A6A">
            <w:pPr>
              <w:spacing w:before="0" w:after="0" w:line="240" w:lineRule="auto"/>
              <w:ind w:left="360"/>
              <w:jc w:val="both"/>
            </w:pPr>
            <w:r>
              <w:rPr>
                <w:rFonts w:eastAsia="Arial"/>
                <w:b/>
                <w:bCs/>
              </w:rPr>
              <w:t xml:space="preserve">ERCOT Market Impact Statement:  </w:t>
            </w:r>
            <w:r>
              <w:rPr>
                <w:rFonts w:eastAsia="Arial"/>
              </w:rPr>
              <w:t xml:space="preserve">ERCOT Staff has reviewed NPRR1214 and believes the market impact for NPRR1214 introduces a Reliability Deployment Indifference Payment/Charge, which is intended to make Resources indifferent to any difference between their dispatch levels from the </w:t>
            </w:r>
            <w:r w:rsidR="007A310A">
              <w:rPr>
                <w:rFonts w:eastAsia="Arial"/>
              </w:rPr>
              <w:t>Security-Constrained Economic Dispatch (</w:t>
            </w:r>
            <w:r>
              <w:rPr>
                <w:rFonts w:eastAsia="Arial"/>
              </w:rPr>
              <w:t>SCED</w:t>
            </w:r>
            <w:r w:rsidR="007A310A">
              <w:rPr>
                <w:rFonts w:eastAsia="Arial"/>
              </w:rPr>
              <w:t>)</w:t>
            </w:r>
            <w:r>
              <w:rPr>
                <w:rFonts w:eastAsia="Arial"/>
              </w:rPr>
              <w:t xml:space="preserve"> dispatch run and the SCED pricing run.</w:t>
            </w:r>
          </w:p>
          <w:p w14:paraId="5327F13D"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supports NPRR1214. (See 6/22/26 IMM comments)</w:t>
            </w:r>
          </w:p>
          <w:p w14:paraId="3E5E866E" w14:textId="77777777" w:rsidR="000D3CCA" w:rsidRDefault="00ED7A6A">
            <w:pPr>
              <w:spacing w:before="0" w:after="0" w:line="240" w:lineRule="auto"/>
              <w:ind w:left="360"/>
              <w:jc w:val="both"/>
            </w:pPr>
            <w:hyperlink r:id="rId15" w:anchor="keydocs" w:history="1">
              <w:r>
                <w:rPr>
                  <w:rStyle w:val="Hyperlink"/>
                  <w:rFonts w:eastAsia="Arial"/>
                  <w:b/>
                  <w:bCs/>
                </w:rPr>
                <w:t>Key Documents</w:t>
              </w:r>
            </w:hyperlink>
            <w:r>
              <w:rPr>
                <w:rFonts w:eastAsia="Arial"/>
                <w:b/>
                <w:bCs/>
              </w:rPr>
              <w:t xml:space="preserve"> (including comments, ballots, reports and impact analyses)</w:t>
            </w:r>
          </w:p>
          <w:p w14:paraId="4B57F88F" w14:textId="77777777" w:rsidR="000D3CCA" w:rsidRDefault="000D3CCA">
            <w:pPr>
              <w:spacing w:before="0" w:after="0" w:line="240" w:lineRule="auto"/>
            </w:pPr>
          </w:p>
          <w:p w14:paraId="08E7748C" w14:textId="77777777" w:rsidR="000D3CCA" w:rsidRDefault="00ED7A6A">
            <w:pPr>
              <w:pStyle w:val="ListParagraph"/>
              <w:numPr>
                <w:ilvl w:val="0"/>
                <w:numId w:val="25"/>
              </w:numPr>
              <w:spacing w:before="0" w:after="0" w:line="240" w:lineRule="auto"/>
              <w:ind w:left="360"/>
              <w:contextualSpacing w:val="0"/>
              <w:jc w:val="both"/>
            </w:pPr>
            <w:hyperlink r:id="rId16" w:history="1">
              <w:r>
                <w:rPr>
                  <w:rStyle w:val="Hyperlink"/>
                  <w:rFonts w:eastAsia="Arial"/>
                  <w:b/>
                  <w:bCs/>
                  <w:i/>
                  <w:iCs/>
                </w:rPr>
                <w:t>NPRR1286, Establish Multi-Value Criteria for Resiliency-Related Transmission Project Evaluation</w:t>
              </w:r>
            </w:hyperlink>
          </w:p>
          <w:p w14:paraId="326ED63C" w14:textId="54865C44" w:rsidR="000D3CCA" w:rsidRDefault="00ED7A6A">
            <w:pPr>
              <w:spacing w:before="0" w:after="0" w:line="240" w:lineRule="auto"/>
              <w:ind w:left="360"/>
              <w:jc w:val="both"/>
            </w:pPr>
            <w:r>
              <w:rPr>
                <w:rFonts w:eastAsia="Arial"/>
                <w:b/>
                <w:bCs/>
              </w:rPr>
              <w:t xml:space="preserve">Sponsor:  </w:t>
            </w:r>
            <w:r>
              <w:rPr>
                <w:rFonts w:eastAsia="Arial"/>
              </w:rPr>
              <w:t>ERCOT</w:t>
            </w:r>
          </w:p>
          <w:p w14:paraId="611D7830" w14:textId="7814ECE0" w:rsidR="000D3CCA" w:rsidRDefault="00ED7A6A">
            <w:pPr>
              <w:spacing w:before="0" w:after="0" w:line="240" w:lineRule="auto"/>
              <w:ind w:left="360"/>
              <w:jc w:val="both"/>
            </w:pPr>
            <w:r>
              <w:rPr>
                <w:rFonts w:eastAsia="Arial"/>
                <w:b/>
                <w:bCs/>
              </w:rPr>
              <w:t xml:space="preserve">Revision Description:  </w:t>
            </w:r>
            <w:r>
              <w:rPr>
                <w:rFonts w:eastAsia="Arial"/>
              </w:rPr>
              <w:t xml:space="preserve">This NPRR establishes new planning criteria to address the process for determining whether a project that addresses a resiliency issue provides sufficient benefit balanced with economic savings or reliability benefits, in accordance with 16 Texas Administrative Code (TAC) § 25.101(b)(3)(A)(iii). </w:t>
            </w:r>
          </w:p>
          <w:p w14:paraId="406383A7" w14:textId="314CBE29" w:rsidR="00AD58F3" w:rsidRDefault="00ED7A6A">
            <w:pPr>
              <w:spacing w:before="0" w:after="0" w:line="240" w:lineRule="auto"/>
              <w:ind w:left="360"/>
              <w:jc w:val="both"/>
              <w:rPr>
                <w:rFonts w:eastAsia="Arial"/>
              </w:rPr>
            </w:pPr>
            <w:hyperlink r:id="rId17" w:history="1">
              <w:r>
                <w:rPr>
                  <w:rStyle w:val="Hyperlink"/>
                  <w:rFonts w:eastAsia="Arial"/>
                  <w:b/>
                  <w:bCs/>
                </w:rPr>
                <w:t>Impact Analysis</w:t>
              </w:r>
            </w:hyperlink>
            <w:r>
              <w:rPr>
                <w:rFonts w:eastAsia="Arial"/>
                <w:b/>
                <w:bCs/>
              </w:rPr>
              <w:t xml:space="preserve">:  </w:t>
            </w:r>
            <w:r w:rsidR="00AD58F3">
              <w:rPr>
                <w:rFonts w:eastAsia="Arial"/>
              </w:rPr>
              <w:t>No impact</w:t>
            </w:r>
          </w:p>
          <w:p w14:paraId="4298B2B6" w14:textId="11F35DD6" w:rsidR="000D3CCA" w:rsidRDefault="00ED7A6A">
            <w:pPr>
              <w:spacing w:before="0" w:after="0" w:line="240" w:lineRule="auto"/>
              <w:ind w:left="360"/>
              <w:jc w:val="both"/>
            </w:pPr>
            <w:r>
              <w:rPr>
                <w:rFonts w:eastAsia="Arial"/>
                <w:b/>
                <w:bCs/>
              </w:rPr>
              <w:t xml:space="preserve">Proposed Effective Date:  </w:t>
            </w:r>
            <w:r>
              <w:rPr>
                <w:rFonts w:eastAsia="Arial"/>
              </w:rPr>
              <w:t>The first of the month following Public Utility Commission of Texas (PUCT) approval</w:t>
            </w:r>
          </w:p>
          <w:p w14:paraId="770CD1D2" w14:textId="622DB343" w:rsidR="000D3CCA" w:rsidRDefault="00ED7A6A">
            <w:pPr>
              <w:spacing w:before="0" w:after="0" w:line="240" w:lineRule="auto"/>
              <w:ind w:left="360"/>
              <w:jc w:val="both"/>
            </w:pPr>
            <w:hyperlink r:id="rId18"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NPRR1286 as recommended by PRS in the 7/15/26 PRS Report. </w:t>
            </w:r>
          </w:p>
          <w:p w14:paraId="41DA6019"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NPRR1286.</w:t>
            </w:r>
          </w:p>
          <w:p w14:paraId="71A56DD4" w14:textId="77777777" w:rsidR="000D3CCA" w:rsidRDefault="00ED7A6A">
            <w:pPr>
              <w:spacing w:before="0" w:after="0" w:line="240" w:lineRule="auto"/>
              <w:ind w:left="360"/>
              <w:jc w:val="both"/>
            </w:pPr>
            <w:r>
              <w:rPr>
                <w:rFonts w:eastAsia="Arial"/>
                <w:b/>
                <w:bCs/>
              </w:rPr>
              <w:t xml:space="preserve">ERCOT Market Impact Statement:  </w:t>
            </w:r>
            <w:r>
              <w:rPr>
                <w:rFonts w:eastAsia="Arial"/>
              </w:rPr>
              <w:t xml:space="preserve">ERCOT Staff has reviewed NPRR1286 and believes that it provides a positive market impact by leading industry grid reliability and resilience through the establishment of new planning criteria to address the </w:t>
            </w:r>
            <w:r>
              <w:rPr>
                <w:rFonts w:eastAsia="Arial"/>
              </w:rPr>
              <w:lastRenderedPageBreak/>
              <w:t>process for determining whether a project that addresses a resiliency issue provides sufficient benefit balanced with economic savings or reliability benefits.</w:t>
            </w:r>
          </w:p>
          <w:p w14:paraId="72735A8B"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NPRR1286.</w:t>
            </w:r>
          </w:p>
          <w:p w14:paraId="4E658280" w14:textId="77777777" w:rsidR="000D3CCA" w:rsidRDefault="00ED7A6A">
            <w:pPr>
              <w:spacing w:before="0" w:after="0" w:line="240" w:lineRule="auto"/>
              <w:ind w:left="360"/>
              <w:jc w:val="both"/>
            </w:pPr>
            <w:hyperlink r:id="rId19" w:anchor="keydocs" w:history="1">
              <w:r>
                <w:rPr>
                  <w:rStyle w:val="Hyperlink"/>
                  <w:rFonts w:eastAsia="Arial"/>
                  <w:b/>
                  <w:bCs/>
                </w:rPr>
                <w:t>Key Documents</w:t>
              </w:r>
            </w:hyperlink>
            <w:r>
              <w:rPr>
                <w:rFonts w:eastAsia="Arial"/>
                <w:b/>
                <w:bCs/>
              </w:rPr>
              <w:t xml:space="preserve"> (including comments, ballots, reports and impact analyses)</w:t>
            </w:r>
          </w:p>
          <w:p w14:paraId="274C5A05" w14:textId="77777777" w:rsidR="000D3CCA" w:rsidRDefault="000D3CCA">
            <w:pPr>
              <w:spacing w:before="0" w:after="0" w:line="240" w:lineRule="auto"/>
            </w:pPr>
          </w:p>
          <w:p w14:paraId="37262C69" w14:textId="77777777" w:rsidR="000D3CCA" w:rsidRDefault="00ED7A6A">
            <w:pPr>
              <w:pStyle w:val="ListParagraph"/>
              <w:numPr>
                <w:ilvl w:val="0"/>
                <w:numId w:val="25"/>
              </w:numPr>
              <w:spacing w:before="0" w:after="0" w:line="240" w:lineRule="auto"/>
              <w:ind w:left="360"/>
              <w:contextualSpacing w:val="0"/>
              <w:jc w:val="both"/>
            </w:pPr>
            <w:hyperlink r:id="rId20" w:history="1">
              <w:r>
                <w:rPr>
                  <w:rStyle w:val="Hyperlink"/>
                  <w:rFonts w:eastAsia="Arial"/>
                  <w:b/>
                  <w:bCs/>
                  <w:i/>
                  <w:iCs/>
                </w:rPr>
                <w:t>NPRR1292, Granular Product Type for CRR TOU</w:t>
              </w:r>
            </w:hyperlink>
          </w:p>
          <w:p w14:paraId="4E8293A2" w14:textId="44BE7E40" w:rsidR="000D3CCA" w:rsidRDefault="00ED7A6A">
            <w:pPr>
              <w:spacing w:before="0" w:after="0" w:line="240" w:lineRule="auto"/>
              <w:ind w:left="360"/>
              <w:jc w:val="both"/>
            </w:pPr>
            <w:r>
              <w:rPr>
                <w:rFonts w:eastAsia="Arial"/>
                <w:b/>
                <w:bCs/>
              </w:rPr>
              <w:t xml:space="preserve">Sponsor:  </w:t>
            </w:r>
            <w:r>
              <w:rPr>
                <w:rFonts w:eastAsia="Arial"/>
              </w:rPr>
              <w:t>Vistra Operations Company LLC</w:t>
            </w:r>
          </w:p>
          <w:p w14:paraId="02667F61" w14:textId="3251431E" w:rsidR="000D3CCA" w:rsidRDefault="00ED7A6A">
            <w:pPr>
              <w:spacing w:before="0" w:after="0" w:line="240" w:lineRule="auto"/>
              <w:ind w:left="360"/>
              <w:jc w:val="both"/>
            </w:pPr>
            <w:r>
              <w:rPr>
                <w:rFonts w:eastAsia="Arial"/>
                <w:b/>
                <w:bCs/>
              </w:rPr>
              <w:t xml:space="preserve">Revision Description:  </w:t>
            </w:r>
            <w:r>
              <w:rPr>
                <w:rFonts w:eastAsia="Arial"/>
              </w:rPr>
              <w:t>This NPRR creates the granular Congestion Revenue Right (CRR) Time Of Use (TOU) blocks to align with the current resource mix and improve auction speed and efficiency. Currently, CRRs are traded as weekday/weekend peak and off-peak, with no opportunity to further shape hedges. New additional granular CRR TOU blocks will divide weekday/weekend peak between solar and non-solar hours, to create a more targeted hedging product.</w:t>
            </w:r>
          </w:p>
          <w:p w14:paraId="3C3D5364" w14:textId="590FCC59" w:rsidR="00AD58F3" w:rsidRDefault="00ED7A6A">
            <w:pPr>
              <w:spacing w:before="0" w:after="0" w:line="240" w:lineRule="auto"/>
              <w:ind w:left="360"/>
              <w:jc w:val="both"/>
              <w:rPr>
                <w:rFonts w:eastAsia="Arial"/>
              </w:rPr>
            </w:pPr>
            <w:hyperlink r:id="rId21" w:history="1">
              <w:r>
                <w:rPr>
                  <w:rStyle w:val="Hyperlink"/>
                  <w:rFonts w:eastAsia="Arial"/>
                  <w:b/>
                  <w:bCs/>
                </w:rPr>
                <w:t>Impact Analysis</w:t>
              </w:r>
            </w:hyperlink>
            <w:r>
              <w:rPr>
                <w:rFonts w:eastAsia="Arial"/>
                <w:b/>
                <w:bCs/>
              </w:rPr>
              <w:t xml:space="preserve">:  </w:t>
            </w:r>
            <w:r>
              <w:rPr>
                <w:rFonts w:eastAsia="Arial"/>
              </w:rPr>
              <w:t xml:space="preserve">Between $1.2M and $1.6M </w:t>
            </w:r>
          </w:p>
          <w:p w14:paraId="31315154" w14:textId="4C06C7C2"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AD58F3">
              <w:rPr>
                <w:rFonts w:eastAsia="Arial"/>
              </w:rPr>
              <w:t xml:space="preserve"> – Priority 2027; Rank 4930</w:t>
            </w:r>
          </w:p>
          <w:p w14:paraId="4C09D9FC" w14:textId="50701922" w:rsidR="000D3CCA" w:rsidRDefault="00ED7A6A">
            <w:pPr>
              <w:spacing w:before="0" w:after="0" w:line="240" w:lineRule="auto"/>
              <w:ind w:left="360"/>
              <w:jc w:val="both"/>
            </w:pPr>
            <w:hyperlink r:id="rId22"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NPRR1292 as recommended by PRS in the 6/10/26 PRS Report. </w:t>
            </w:r>
          </w:p>
          <w:p w14:paraId="30FC7A8E" w14:textId="43D30EFE" w:rsidR="000D3CCA" w:rsidRDefault="00ED7A6A">
            <w:pPr>
              <w:spacing w:before="0" w:after="0" w:line="240" w:lineRule="auto"/>
              <w:ind w:left="360"/>
              <w:jc w:val="both"/>
            </w:pPr>
            <w:r>
              <w:rPr>
                <w:rFonts w:eastAsia="Arial"/>
                <w:b/>
                <w:bCs/>
              </w:rPr>
              <w:t xml:space="preserve">Credit Review:  </w:t>
            </w:r>
            <w:r>
              <w:rPr>
                <w:rFonts w:eastAsia="Arial"/>
              </w:rPr>
              <w:t xml:space="preserve">ERCOT Credit Staff and </w:t>
            </w:r>
            <w:r w:rsidR="007A310A">
              <w:rPr>
                <w:rFonts w:eastAsia="Arial"/>
              </w:rPr>
              <w:t>the Credit Finance Sub Group (</w:t>
            </w:r>
            <w:r>
              <w:rPr>
                <w:rFonts w:eastAsia="Arial"/>
              </w:rPr>
              <w:t>CFSG</w:t>
            </w:r>
            <w:r w:rsidR="007A310A">
              <w:rPr>
                <w:rFonts w:eastAsia="Arial"/>
              </w:rPr>
              <w:t>)</w:t>
            </w:r>
            <w:r>
              <w:rPr>
                <w:rFonts w:eastAsia="Arial"/>
              </w:rPr>
              <w:t xml:space="preserve"> have reviewed NPRR1292 and believe the proposed changes to the </w:t>
            </w:r>
            <w:r w:rsidR="007A310A">
              <w:rPr>
                <w:rFonts w:eastAsia="Arial"/>
              </w:rPr>
              <w:t>P</w:t>
            </w:r>
            <w:r>
              <w:rPr>
                <w:rFonts w:eastAsia="Arial"/>
              </w:rPr>
              <w:t>rotocol language referencing the proposed time of use blocks in the calculation of Future Credit Exposure (FCE) as well as system changes do not change the calculation methodology. These changes could still result in either a higher or lower FCE depending on the portfolio held by the CRR Account Holder.</w:t>
            </w:r>
            <w:r w:rsidR="00DD418A">
              <w:rPr>
                <w:rFonts w:eastAsia="Arial"/>
              </w:rPr>
              <w:t xml:space="preserve"> (See 3/18/26 CFSG comments)</w:t>
            </w:r>
          </w:p>
          <w:p w14:paraId="60F6638A"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NPRR1292.</w:t>
            </w:r>
          </w:p>
          <w:p w14:paraId="675589AF"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NPRR1292 and believes it provides a positive market impact by creating more efficient hedging products to align with the current Resource mix and address changing generation and congestion patterns.</w:t>
            </w:r>
          </w:p>
          <w:p w14:paraId="578FF5A2"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supports NPRR1292.</w:t>
            </w:r>
          </w:p>
          <w:p w14:paraId="48CF39BE" w14:textId="77777777" w:rsidR="000D3CCA" w:rsidRDefault="00ED7A6A">
            <w:pPr>
              <w:spacing w:before="0" w:after="0" w:line="240" w:lineRule="auto"/>
              <w:ind w:left="360"/>
              <w:jc w:val="both"/>
            </w:pPr>
            <w:hyperlink r:id="rId23" w:anchor="keydocs" w:history="1">
              <w:r>
                <w:rPr>
                  <w:rStyle w:val="Hyperlink"/>
                  <w:rFonts w:eastAsia="Arial"/>
                  <w:b/>
                  <w:bCs/>
                </w:rPr>
                <w:t>Key Documents</w:t>
              </w:r>
            </w:hyperlink>
            <w:r>
              <w:rPr>
                <w:rFonts w:eastAsia="Arial"/>
                <w:b/>
                <w:bCs/>
              </w:rPr>
              <w:t xml:space="preserve"> (including comments, ballots, reports and impact analyses)</w:t>
            </w:r>
          </w:p>
          <w:p w14:paraId="50E70B75" w14:textId="77777777" w:rsidR="000D3CCA" w:rsidRDefault="000D3CCA">
            <w:pPr>
              <w:spacing w:before="0" w:after="0" w:line="240" w:lineRule="auto"/>
            </w:pPr>
          </w:p>
          <w:p w14:paraId="4AAF74C0" w14:textId="77777777" w:rsidR="000D3CCA" w:rsidRDefault="00ED7A6A">
            <w:pPr>
              <w:pStyle w:val="ListParagraph"/>
              <w:numPr>
                <w:ilvl w:val="0"/>
                <w:numId w:val="25"/>
              </w:numPr>
              <w:spacing w:before="0" w:after="0" w:line="240" w:lineRule="auto"/>
              <w:ind w:left="360"/>
              <w:contextualSpacing w:val="0"/>
              <w:jc w:val="both"/>
            </w:pPr>
            <w:hyperlink r:id="rId24" w:history="1">
              <w:r>
                <w:rPr>
                  <w:rStyle w:val="Hyperlink"/>
                  <w:rFonts w:eastAsia="Arial"/>
                  <w:b/>
                  <w:bCs/>
                  <w:i/>
                  <w:iCs/>
                </w:rPr>
                <w:t>NPRR1301, Align Protocols to Constraint Activation Procedure</w:t>
              </w:r>
            </w:hyperlink>
          </w:p>
          <w:p w14:paraId="481EBD25" w14:textId="5F031FCD" w:rsidR="000D3CCA" w:rsidRDefault="00ED7A6A">
            <w:pPr>
              <w:spacing w:before="0" w:after="0" w:line="240" w:lineRule="auto"/>
              <w:ind w:left="360"/>
              <w:jc w:val="both"/>
            </w:pPr>
            <w:r>
              <w:rPr>
                <w:rFonts w:eastAsia="Arial"/>
                <w:b/>
                <w:bCs/>
              </w:rPr>
              <w:t xml:space="preserve">Sponsor:  </w:t>
            </w:r>
            <w:r>
              <w:rPr>
                <w:rFonts w:eastAsia="Arial"/>
              </w:rPr>
              <w:t>LCRA</w:t>
            </w:r>
          </w:p>
          <w:p w14:paraId="5E4B14A6" w14:textId="10D67903" w:rsidR="000D3CCA" w:rsidRDefault="00ED7A6A">
            <w:pPr>
              <w:spacing w:before="0" w:after="0" w:line="240" w:lineRule="auto"/>
              <w:ind w:left="360"/>
              <w:jc w:val="both"/>
            </w:pPr>
            <w:r>
              <w:rPr>
                <w:rFonts w:eastAsia="Arial"/>
                <w:b/>
                <w:bCs/>
              </w:rPr>
              <w:t xml:space="preserve">Revision Description:  </w:t>
            </w:r>
            <w:r>
              <w:rPr>
                <w:rFonts w:eastAsia="Arial"/>
              </w:rPr>
              <w:t>This NPRR aligns the Protocols to ERCOT’s Transmission Security and Operating Procedure for constraint activation.</w:t>
            </w:r>
          </w:p>
          <w:p w14:paraId="7D3AD878" w14:textId="14A51AF7" w:rsidR="00AD58F3" w:rsidRDefault="00ED7A6A">
            <w:pPr>
              <w:spacing w:before="0" w:after="0" w:line="240" w:lineRule="auto"/>
              <w:ind w:left="360"/>
              <w:jc w:val="both"/>
              <w:rPr>
                <w:rFonts w:eastAsia="Arial"/>
              </w:rPr>
            </w:pPr>
            <w:hyperlink r:id="rId25" w:history="1">
              <w:r>
                <w:rPr>
                  <w:rStyle w:val="Hyperlink"/>
                  <w:rFonts w:eastAsia="Arial"/>
                  <w:b/>
                  <w:bCs/>
                </w:rPr>
                <w:t>Impact Analysis</w:t>
              </w:r>
            </w:hyperlink>
            <w:r>
              <w:rPr>
                <w:rFonts w:eastAsia="Arial"/>
                <w:b/>
                <w:bCs/>
              </w:rPr>
              <w:t xml:space="preserve">:  </w:t>
            </w:r>
            <w:r w:rsidR="00AD58F3">
              <w:rPr>
                <w:rFonts w:eastAsia="Arial"/>
              </w:rPr>
              <w:t>No impact</w:t>
            </w:r>
            <w:r>
              <w:rPr>
                <w:rFonts w:eastAsia="Arial"/>
              </w:rPr>
              <w:t xml:space="preserve"> </w:t>
            </w:r>
          </w:p>
          <w:p w14:paraId="016406D7" w14:textId="127E6FA0" w:rsidR="000D3CCA" w:rsidRDefault="00ED7A6A">
            <w:pPr>
              <w:spacing w:before="0" w:after="0" w:line="240" w:lineRule="auto"/>
              <w:ind w:left="360"/>
              <w:jc w:val="both"/>
            </w:pPr>
            <w:r>
              <w:rPr>
                <w:rFonts w:eastAsia="Arial"/>
                <w:b/>
                <w:bCs/>
              </w:rPr>
              <w:t xml:space="preserve">Proposed Effective Date:  </w:t>
            </w:r>
            <w:r>
              <w:rPr>
                <w:rFonts w:eastAsia="Arial"/>
              </w:rPr>
              <w:t xml:space="preserve">The first of the month following </w:t>
            </w:r>
            <w:r w:rsidR="007A310A">
              <w:rPr>
                <w:rFonts w:eastAsia="Arial"/>
              </w:rPr>
              <w:t>PUCT</w:t>
            </w:r>
            <w:r>
              <w:rPr>
                <w:rFonts w:eastAsia="Arial"/>
              </w:rPr>
              <w:t xml:space="preserve"> approval</w:t>
            </w:r>
          </w:p>
          <w:p w14:paraId="7567141C" w14:textId="3BE2A416" w:rsidR="000D3CCA" w:rsidRDefault="00ED7A6A">
            <w:pPr>
              <w:spacing w:before="0" w:after="0" w:line="240" w:lineRule="auto"/>
              <w:ind w:left="360"/>
              <w:jc w:val="both"/>
            </w:pPr>
            <w:hyperlink r:id="rId26"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NPRR1301 as recommended by PRS in the 7/15/26 PRS Report. </w:t>
            </w:r>
          </w:p>
          <w:p w14:paraId="0E7B643F"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NPRR1301.</w:t>
            </w:r>
          </w:p>
          <w:p w14:paraId="2EC17D75" w14:textId="77777777" w:rsidR="000D3CCA" w:rsidRDefault="00ED7A6A">
            <w:pPr>
              <w:spacing w:before="0" w:after="0" w:line="240" w:lineRule="auto"/>
              <w:ind w:left="360"/>
              <w:jc w:val="both"/>
            </w:pPr>
            <w:r>
              <w:rPr>
                <w:rFonts w:eastAsia="Arial"/>
                <w:b/>
                <w:bCs/>
              </w:rPr>
              <w:t xml:space="preserve">ERCOT Market Impact Statement:  </w:t>
            </w:r>
            <w:r>
              <w:rPr>
                <w:rFonts w:eastAsia="Arial"/>
              </w:rPr>
              <w:t xml:space="preserve">ERCOT Staff has reviewed NPRR1301 and believes it aligns the ERCOT Protocols with ERCOT's Transmission Security and Operating Procedure by clarifying the criteria for constraint activation, improving </w:t>
            </w:r>
            <w:r>
              <w:rPr>
                <w:rFonts w:eastAsia="Arial"/>
              </w:rPr>
              <w:lastRenderedPageBreak/>
              <w:t>transparency, and reducing unnecessary congestion management costs associated with redundant constraint activation.</w:t>
            </w:r>
          </w:p>
          <w:p w14:paraId="4FF6D0AA" w14:textId="0ECD65F0" w:rsidR="000D3CCA" w:rsidRDefault="00ED7A6A">
            <w:pPr>
              <w:spacing w:before="0" w:after="0" w:line="240" w:lineRule="auto"/>
              <w:ind w:left="360"/>
              <w:jc w:val="both"/>
            </w:pPr>
            <w:r>
              <w:rPr>
                <w:rFonts w:eastAsia="Arial"/>
                <w:b/>
                <w:bCs/>
              </w:rPr>
              <w:t xml:space="preserve">Independent Market Monitor (IMM) Opinion:  </w:t>
            </w:r>
            <w:r>
              <w:rPr>
                <w:rFonts w:eastAsia="Arial"/>
              </w:rPr>
              <w:t>IMM supports NPRR1301.</w:t>
            </w:r>
            <w:r w:rsidR="007B1E01">
              <w:rPr>
                <w:rFonts w:eastAsia="Arial"/>
              </w:rPr>
              <w:t xml:space="preserve"> (See 7/9/26 IMM comments)</w:t>
            </w:r>
          </w:p>
          <w:p w14:paraId="4AAFD775" w14:textId="77777777" w:rsidR="000D3CCA" w:rsidRDefault="00ED7A6A">
            <w:pPr>
              <w:spacing w:before="0" w:after="0" w:line="240" w:lineRule="auto"/>
              <w:ind w:left="360"/>
              <w:jc w:val="both"/>
            </w:pPr>
            <w:hyperlink r:id="rId27" w:anchor="keydocs" w:history="1">
              <w:r>
                <w:rPr>
                  <w:rStyle w:val="Hyperlink"/>
                  <w:rFonts w:eastAsia="Arial"/>
                  <w:b/>
                  <w:bCs/>
                </w:rPr>
                <w:t>Key Documents</w:t>
              </w:r>
            </w:hyperlink>
            <w:r>
              <w:rPr>
                <w:rFonts w:eastAsia="Arial"/>
                <w:b/>
                <w:bCs/>
              </w:rPr>
              <w:t xml:space="preserve"> (including comments, ballots, reports and impact analyses)</w:t>
            </w:r>
          </w:p>
          <w:p w14:paraId="56E98B34" w14:textId="77777777" w:rsidR="000D3CCA" w:rsidRDefault="000D3CCA">
            <w:pPr>
              <w:spacing w:before="0" w:after="0" w:line="240" w:lineRule="auto"/>
            </w:pPr>
          </w:p>
          <w:p w14:paraId="588E32B7" w14:textId="77777777" w:rsidR="000D3CCA" w:rsidRDefault="00ED7A6A">
            <w:pPr>
              <w:pStyle w:val="ListParagraph"/>
              <w:numPr>
                <w:ilvl w:val="0"/>
                <w:numId w:val="25"/>
              </w:numPr>
              <w:spacing w:before="0" w:after="0" w:line="240" w:lineRule="auto"/>
              <w:ind w:left="360"/>
              <w:contextualSpacing w:val="0"/>
              <w:jc w:val="both"/>
            </w:pPr>
            <w:hyperlink r:id="rId28" w:history="1">
              <w:r>
                <w:rPr>
                  <w:rStyle w:val="Hyperlink"/>
                  <w:rFonts w:eastAsia="Arial"/>
                  <w:b/>
                  <w:bCs/>
                  <w:i/>
                  <w:iCs/>
                </w:rPr>
                <w:t>NPRR1319, Clarification to Seasonal Mothball Evaluation Process</w:t>
              </w:r>
            </w:hyperlink>
          </w:p>
          <w:p w14:paraId="623C74BD" w14:textId="178CF98F" w:rsidR="000D3CCA" w:rsidRDefault="00ED7A6A">
            <w:pPr>
              <w:spacing w:before="0" w:after="0" w:line="240" w:lineRule="auto"/>
              <w:ind w:left="360"/>
              <w:jc w:val="both"/>
            </w:pPr>
            <w:r>
              <w:rPr>
                <w:rFonts w:eastAsia="Arial"/>
                <w:b/>
                <w:bCs/>
              </w:rPr>
              <w:t xml:space="preserve">Sponsor:  </w:t>
            </w:r>
            <w:r>
              <w:rPr>
                <w:rFonts w:eastAsia="Arial"/>
              </w:rPr>
              <w:t>ERCOT</w:t>
            </w:r>
          </w:p>
          <w:p w14:paraId="445763D5" w14:textId="754F1B8C" w:rsidR="000D3CCA" w:rsidRDefault="00ED7A6A">
            <w:pPr>
              <w:spacing w:before="0" w:after="0" w:line="240" w:lineRule="auto"/>
              <w:ind w:left="360"/>
              <w:jc w:val="both"/>
            </w:pPr>
            <w:r>
              <w:rPr>
                <w:rFonts w:eastAsia="Arial"/>
                <w:b/>
                <w:bCs/>
              </w:rPr>
              <w:t xml:space="preserve">Revision Description:  </w:t>
            </w:r>
            <w:r>
              <w:rPr>
                <w:rFonts w:eastAsia="Arial"/>
              </w:rPr>
              <w:t>This NPRR clarifies ERCOT’s next steps after a Generation Resource proposal to be placed on seasonal mothball status has been evaluated. The current language in some cases requires ERCOT to prepare and post a Must-Run Alternative (MRA) “Request for Proposal” (RFP). Given that a request to seasonally mothball a Resource can be submitted as little as 90 days before the season begins, if ERCOT studies indicate a reliability concern of the seasonal mothball request, in most cases there is not enough time to effectively go through the MRA process and receive operational alternatives in a timely manner. This NPRR clarifies that ERCOT may, but is not required to, go through the MRA RFP process when it receives notice to place a unit on seasonal mothball status.</w:t>
            </w:r>
          </w:p>
          <w:p w14:paraId="71C6FD4B" w14:textId="0EA56307" w:rsidR="007B1E01" w:rsidRDefault="00ED7A6A">
            <w:pPr>
              <w:spacing w:before="0" w:after="0" w:line="240" w:lineRule="auto"/>
              <w:ind w:left="360"/>
              <w:jc w:val="both"/>
              <w:rPr>
                <w:rFonts w:eastAsia="Arial"/>
              </w:rPr>
            </w:pPr>
            <w:hyperlink r:id="rId29" w:history="1">
              <w:r>
                <w:rPr>
                  <w:rStyle w:val="Hyperlink"/>
                  <w:rFonts w:eastAsia="Arial"/>
                  <w:b/>
                  <w:bCs/>
                </w:rPr>
                <w:t>Impact Analysis</w:t>
              </w:r>
            </w:hyperlink>
            <w:r>
              <w:rPr>
                <w:rFonts w:eastAsia="Arial"/>
                <w:b/>
                <w:bCs/>
              </w:rPr>
              <w:t xml:space="preserve">:  </w:t>
            </w:r>
            <w:r w:rsidR="007B1E01">
              <w:rPr>
                <w:rFonts w:eastAsia="Arial"/>
              </w:rPr>
              <w:t>No impact</w:t>
            </w:r>
          </w:p>
          <w:p w14:paraId="679DAECE" w14:textId="63111017" w:rsidR="000D3CCA" w:rsidRDefault="00ED7A6A">
            <w:pPr>
              <w:spacing w:before="0" w:after="0" w:line="240" w:lineRule="auto"/>
              <w:ind w:left="360"/>
              <w:jc w:val="both"/>
            </w:pPr>
            <w:r>
              <w:rPr>
                <w:rFonts w:eastAsia="Arial"/>
                <w:b/>
                <w:bCs/>
              </w:rPr>
              <w:t xml:space="preserve">Proposed Effective Date:  </w:t>
            </w:r>
            <w:r w:rsidR="008A4AEC">
              <w:rPr>
                <w:rFonts w:eastAsia="Arial"/>
              </w:rPr>
              <w:t>The f</w:t>
            </w:r>
            <w:r>
              <w:rPr>
                <w:rFonts w:eastAsia="Arial"/>
              </w:rPr>
              <w:t xml:space="preserve">irst of the month following </w:t>
            </w:r>
            <w:r w:rsidR="007A310A">
              <w:rPr>
                <w:rFonts w:eastAsia="Arial"/>
              </w:rPr>
              <w:t>PUCT approval</w:t>
            </w:r>
          </w:p>
          <w:p w14:paraId="2747F92B" w14:textId="7C85DAAB" w:rsidR="000D3CCA" w:rsidRDefault="00ED7A6A">
            <w:pPr>
              <w:spacing w:before="0" w:after="0" w:line="240" w:lineRule="auto"/>
              <w:ind w:left="360"/>
              <w:jc w:val="both"/>
            </w:pPr>
            <w:hyperlink r:id="rId30"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NPRR1319 as recommended by PRS in the 7/15/26 PRS Report. </w:t>
            </w:r>
          </w:p>
          <w:p w14:paraId="0F2EA26B"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NPRR1319.</w:t>
            </w:r>
          </w:p>
          <w:p w14:paraId="0B199467"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NPRR1319 and believes it provides a positive market impact by clarifying that ERCOT may, but is not required to, go through the MRA RFP process upon notice of a seasonal mothball request, and also clarifying ERCOT’s next steps after the seasonal mothball request has been evaluated.</w:t>
            </w:r>
          </w:p>
          <w:p w14:paraId="6F5EE95D"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NPRR1319.</w:t>
            </w:r>
          </w:p>
          <w:p w14:paraId="272B8C99" w14:textId="77777777" w:rsidR="000D3CCA" w:rsidRDefault="00ED7A6A">
            <w:pPr>
              <w:spacing w:before="0" w:after="0" w:line="240" w:lineRule="auto"/>
              <w:ind w:left="360"/>
              <w:jc w:val="both"/>
            </w:pPr>
            <w:hyperlink r:id="rId31" w:anchor="keydocs" w:history="1">
              <w:r>
                <w:rPr>
                  <w:rStyle w:val="Hyperlink"/>
                  <w:rFonts w:eastAsia="Arial"/>
                  <w:b/>
                  <w:bCs/>
                </w:rPr>
                <w:t>Key Documents</w:t>
              </w:r>
            </w:hyperlink>
            <w:r>
              <w:rPr>
                <w:rFonts w:eastAsia="Arial"/>
                <w:b/>
                <w:bCs/>
              </w:rPr>
              <w:t xml:space="preserve"> (including comments, ballots, reports and impact analyses)</w:t>
            </w:r>
          </w:p>
          <w:p w14:paraId="4CBD8E24" w14:textId="77777777" w:rsidR="000D3CCA" w:rsidRDefault="000D3CCA">
            <w:pPr>
              <w:spacing w:before="0" w:after="0" w:line="240" w:lineRule="auto"/>
            </w:pPr>
          </w:p>
          <w:p w14:paraId="1F02DCA3" w14:textId="77777777" w:rsidR="000D3CCA" w:rsidRDefault="00ED7A6A">
            <w:pPr>
              <w:pStyle w:val="ListParagraph"/>
              <w:numPr>
                <w:ilvl w:val="0"/>
                <w:numId w:val="25"/>
              </w:numPr>
              <w:spacing w:before="0" w:after="0" w:line="240" w:lineRule="auto"/>
              <w:ind w:left="360"/>
              <w:contextualSpacing w:val="0"/>
              <w:jc w:val="both"/>
            </w:pPr>
            <w:hyperlink r:id="rId32" w:history="1">
              <w:r>
                <w:rPr>
                  <w:rStyle w:val="Hyperlink"/>
                  <w:rFonts w:eastAsia="Arial"/>
                  <w:b/>
                  <w:bCs/>
                  <w:i/>
                  <w:iCs/>
                </w:rPr>
                <w:t>NPRR1320, Reserve Margin Reporting and Miscellaneous Changes for the Report on Capacity, Demand, and Reserves in the ERCOT Region (CDR)</w:t>
              </w:r>
            </w:hyperlink>
          </w:p>
          <w:p w14:paraId="4BD71FB9" w14:textId="79D4C840" w:rsidR="000D3CCA" w:rsidRDefault="00ED7A6A">
            <w:pPr>
              <w:spacing w:before="0" w:after="0" w:line="240" w:lineRule="auto"/>
              <w:ind w:left="360"/>
              <w:jc w:val="both"/>
            </w:pPr>
            <w:r>
              <w:rPr>
                <w:rFonts w:eastAsia="Arial"/>
                <w:b/>
                <w:bCs/>
              </w:rPr>
              <w:t xml:space="preserve">Sponsor:  </w:t>
            </w:r>
            <w:r>
              <w:rPr>
                <w:rFonts w:eastAsia="Arial"/>
              </w:rPr>
              <w:t>ERCOT</w:t>
            </w:r>
          </w:p>
          <w:p w14:paraId="16E8D320" w14:textId="1CD044F6" w:rsidR="000D3CCA" w:rsidRDefault="00ED7A6A">
            <w:pPr>
              <w:spacing w:before="0" w:after="0" w:line="240" w:lineRule="auto"/>
              <w:ind w:left="360"/>
              <w:jc w:val="both"/>
            </w:pPr>
            <w:r>
              <w:rPr>
                <w:rFonts w:eastAsia="Arial"/>
                <w:b/>
                <w:bCs/>
              </w:rPr>
              <w:t xml:space="preserve">Revision Description:  </w:t>
            </w:r>
            <w:r>
              <w:rPr>
                <w:rFonts w:eastAsia="Arial"/>
              </w:rPr>
              <w:t xml:space="preserve">This NPRR formalizes reporting of alternative Planning Reserve Margin (PRM) scenarios in the Report on Capacity, Demand, and Reserves in the ERCOT Region (CDR), </w:t>
            </w:r>
            <w:r w:rsidR="007B1E01" w:rsidRPr="007B1E01">
              <w:rPr>
                <w:rFonts w:eastAsia="Arial"/>
              </w:rPr>
              <w:t>requir</w:t>
            </w:r>
            <w:r w:rsidR="007B1E01">
              <w:rPr>
                <w:rFonts w:eastAsia="Arial"/>
              </w:rPr>
              <w:t>ing</w:t>
            </w:r>
            <w:r w:rsidR="007B1E01" w:rsidRPr="007B1E01">
              <w:rPr>
                <w:rFonts w:eastAsia="Arial"/>
              </w:rPr>
              <w:t xml:space="preserve"> a range of PRM scenarios to be included in future </w:t>
            </w:r>
            <w:proofErr w:type="spellStart"/>
            <w:r w:rsidR="007B1E01" w:rsidRPr="007B1E01">
              <w:rPr>
                <w:rFonts w:eastAsia="Arial"/>
              </w:rPr>
              <w:t>CDRs</w:t>
            </w:r>
            <w:r w:rsidR="007B1E01">
              <w:rPr>
                <w:rFonts w:eastAsia="Arial"/>
              </w:rPr>
              <w:t>.</w:t>
            </w:r>
            <w:proofErr w:type="spellEnd"/>
          </w:p>
          <w:p w14:paraId="46B6B8BF" w14:textId="65E5991B" w:rsidR="007B1E01" w:rsidRDefault="00ED7A6A">
            <w:pPr>
              <w:spacing w:before="0" w:after="0" w:line="240" w:lineRule="auto"/>
              <w:ind w:left="360"/>
              <w:jc w:val="both"/>
              <w:rPr>
                <w:rFonts w:eastAsia="Arial"/>
              </w:rPr>
            </w:pPr>
            <w:hyperlink r:id="rId33" w:history="1">
              <w:r>
                <w:rPr>
                  <w:rStyle w:val="Hyperlink"/>
                  <w:rFonts w:eastAsia="Arial"/>
                  <w:b/>
                  <w:bCs/>
                </w:rPr>
                <w:t>Impact Analysis</w:t>
              </w:r>
            </w:hyperlink>
            <w:r>
              <w:rPr>
                <w:rFonts w:eastAsia="Arial"/>
                <w:b/>
                <w:bCs/>
              </w:rPr>
              <w:t xml:space="preserve">:  </w:t>
            </w:r>
            <w:r w:rsidR="007B1E01">
              <w:rPr>
                <w:rFonts w:eastAsia="Arial"/>
              </w:rPr>
              <w:t>No impact</w:t>
            </w:r>
          </w:p>
          <w:p w14:paraId="7CF84112" w14:textId="11ECD096" w:rsidR="000D3CCA" w:rsidRDefault="00ED7A6A">
            <w:pPr>
              <w:spacing w:before="0" w:after="0" w:line="240" w:lineRule="auto"/>
              <w:ind w:left="360"/>
              <w:jc w:val="both"/>
            </w:pPr>
            <w:r>
              <w:rPr>
                <w:rFonts w:eastAsia="Arial"/>
              </w:rPr>
              <w:t xml:space="preserve"> </w:t>
            </w:r>
            <w:r>
              <w:rPr>
                <w:rFonts w:eastAsia="Arial"/>
                <w:b/>
                <w:bCs/>
              </w:rPr>
              <w:t xml:space="preserve">Proposed Effective Date:  </w:t>
            </w:r>
            <w:r w:rsidR="008A4AEC">
              <w:rPr>
                <w:rFonts w:eastAsia="Arial"/>
              </w:rPr>
              <w:t>The f</w:t>
            </w:r>
            <w:r>
              <w:rPr>
                <w:rFonts w:eastAsia="Arial"/>
              </w:rPr>
              <w:t xml:space="preserve">irst of the month following </w:t>
            </w:r>
            <w:r w:rsidR="007A310A">
              <w:rPr>
                <w:rFonts w:eastAsia="Arial"/>
              </w:rPr>
              <w:t>PUCT approval</w:t>
            </w:r>
          </w:p>
          <w:p w14:paraId="5AE5568F" w14:textId="5E8454C6" w:rsidR="000D3CCA" w:rsidRDefault="00ED7A6A">
            <w:pPr>
              <w:spacing w:before="0" w:after="0" w:line="240" w:lineRule="auto"/>
              <w:ind w:left="360"/>
              <w:jc w:val="both"/>
            </w:pPr>
            <w:hyperlink r:id="rId34"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NPRR1320 as recommended by PRS in the 7/15/26 PRS Report. </w:t>
            </w:r>
          </w:p>
          <w:p w14:paraId="2B369214"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NPRR1320.</w:t>
            </w:r>
          </w:p>
          <w:p w14:paraId="678ED2D8" w14:textId="77777777" w:rsidR="000D3CCA" w:rsidRDefault="00ED7A6A">
            <w:pPr>
              <w:spacing w:before="0" w:after="0" w:line="240" w:lineRule="auto"/>
              <w:ind w:left="360"/>
              <w:jc w:val="both"/>
            </w:pPr>
            <w:r>
              <w:rPr>
                <w:rFonts w:eastAsia="Arial"/>
                <w:b/>
                <w:bCs/>
              </w:rPr>
              <w:lastRenderedPageBreak/>
              <w:t xml:space="preserve">ERCOT Market Impact Statement:  </w:t>
            </w:r>
            <w:r>
              <w:rPr>
                <w:rFonts w:eastAsia="Arial"/>
              </w:rPr>
              <w:t xml:space="preserve">ERCOT Staff </w:t>
            </w:r>
            <w:proofErr w:type="gramStart"/>
            <w:r>
              <w:rPr>
                <w:rFonts w:eastAsia="Arial"/>
              </w:rPr>
              <w:t>has</w:t>
            </w:r>
            <w:proofErr w:type="gramEnd"/>
            <w:r>
              <w:rPr>
                <w:rFonts w:eastAsia="Arial"/>
              </w:rPr>
              <w:t xml:space="preserve"> reviewed NPRR1320 and believes it provides a positive market impact by codifying the practice of including alternative reserve margin scenarios in the CDR as a best practice for resource adequacy risk assessment.</w:t>
            </w:r>
          </w:p>
          <w:p w14:paraId="6D3B908B"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NPRR1320.</w:t>
            </w:r>
          </w:p>
          <w:p w14:paraId="212509CD" w14:textId="77777777" w:rsidR="000D3CCA" w:rsidRDefault="00ED7A6A">
            <w:pPr>
              <w:spacing w:before="0" w:after="0" w:line="240" w:lineRule="auto"/>
              <w:ind w:left="360"/>
              <w:jc w:val="both"/>
            </w:pPr>
            <w:hyperlink r:id="rId35" w:anchor="keydocs" w:history="1">
              <w:r>
                <w:rPr>
                  <w:rStyle w:val="Hyperlink"/>
                  <w:rFonts w:eastAsia="Arial"/>
                  <w:b/>
                  <w:bCs/>
                </w:rPr>
                <w:t>Key Documents</w:t>
              </w:r>
            </w:hyperlink>
            <w:r>
              <w:rPr>
                <w:rFonts w:eastAsia="Arial"/>
                <w:b/>
                <w:bCs/>
              </w:rPr>
              <w:t xml:space="preserve"> (including comments, ballots, reports and impact analyses)</w:t>
            </w:r>
          </w:p>
          <w:p w14:paraId="24F5C721" w14:textId="77777777" w:rsidR="000D3CCA" w:rsidRDefault="000D3CCA">
            <w:pPr>
              <w:spacing w:before="0" w:after="0" w:line="240" w:lineRule="auto"/>
            </w:pPr>
          </w:p>
          <w:p w14:paraId="03E505AC" w14:textId="77777777" w:rsidR="000D3CCA" w:rsidRDefault="00ED7A6A">
            <w:pPr>
              <w:pStyle w:val="ListParagraph"/>
              <w:numPr>
                <w:ilvl w:val="0"/>
                <w:numId w:val="25"/>
              </w:numPr>
              <w:spacing w:before="0" w:after="0" w:line="240" w:lineRule="auto"/>
              <w:ind w:left="360"/>
              <w:contextualSpacing w:val="0"/>
              <w:jc w:val="both"/>
            </w:pPr>
            <w:hyperlink r:id="rId36" w:history="1">
              <w:r>
                <w:rPr>
                  <w:rStyle w:val="Hyperlink"/>
                  <w:rFonts w:eastAsia="Arial"/>
                  <w:b/>
                  <w:bCs/>
                  <w:i/>
                  <w:iCs/>
                </w:rPr>
                <w:t>NPRR1326, Add Energy Storage Resource (ESR) State of Charge (SOC) Information to the Ancillary Services Capacity Monitor</w:t>
              </w:r>
            </w:hyperlink>
          </w:p>
          <w:p w14:paraId="0417524F" w14:textId="4F92FC98" w:rsidR="000D3CCA" w:rsidRDefault="00ED7A6A">
            <w:pPr>
              <w:spacing w:before="0" w:after="0" w:line="240" w:lineRule="auto"/>
              <w:ind w:left="360"/>
              <w:jc w:val="both"/>
            </w:pPr>
            <w:r>
              <w:rPr>
                <w:rFonts w:eastAsia="Arial"/>
                <w:b/>
                <w:bCs/>
              </w:rPr>
              <w:t xml:space="preserve">Sponsor:  </w:t>
            </w:r>
            <w:r>
              <w:rPr>
                <w:rFonts w:eastAsia="Arial"/>
              </w:rPr>
              <w:t>Reliant Energy Retail Solutions LLC</w:t>
            </w:r>
          </w:p>
          <w:p w14:paraId="0DBD445E" w14:textId="4EF6A55D" w:rsidR="000D3CCA" w:rsidRDefault="00ED7A6A">
            <w:pPr>
              <w:spacing w:before="0" w:after="0" w:line="240" w:lineRule="auto"/>
              <w:ind w:left="360"/>
              <w:jc w:val="both"/>
            </w:pPr>
            <w:r>
              <w:rPr>
                <w:rFonts w:eastAsia="Arial"/>
                <w:b/>
                <w:bCs/>
              </w:rPr>
              <w:t xml:space="preserve">Revision Description:  </w:t>
            </w:r>
            <w:r>
              <w:rPr>
                <w:rFonts w:eastAsia="Arial"/>
              </w:rPr>
              <w:t>This</w:t>
            </w:r>
            <w:r w:rsidR="007A310A">
              <w:rPr>
                <w:rFonts w:eastAsia="Arial"/>
              </w:rPr>
              <w:t xml:space="preserve"> NPRR</w:t>
            </w:r>
            <w:r>
              <w:rPr>
                <w:rFonts w:eastAsia="Arial"/>
              </w:rPr>
              <w:t xml:space="preserve"> adds State of Charge (SOC) information for Energy Storage Resources (ESRs) in the ERCOT region to the Ancillary Services Capacity Monitor.</w:t>
            </w:r>
          </w:p>
          <w:p w14:paraId="4D0CF238" w14:textId="7E7ED98B" w:rsidR="007B1E01" w:rsidRDefault="00ED7A6A">
            <w:pPr>
              <w:spacing w:before="0" w:after="0" w:line="240" w:lineRule="auto"/>
              <w:ind w:left="360"/>
              <w:jc w:val="both"/>
              <w:rPr>
                <w:rFonts w:eastAsia="Arial"/>
              </w:rPr>
            </w:pPr>
            <w:hyperlink r:id="rId37" w:history="1">
              <w:r>
                <w:rPr>
                  <w:rStyle w:val="Hyperlink"/>
                  <w:rFonts w:eastAsia="Arial"/>
                  <w:b/>
                  <w:bCs/>
                </w:rPr>
                <w:t>Impact Analysis</w:t>
              </w:r>
            </w:hyperlink>
            <w:r>
              <w:rPr>
                <w:rFonts w:eastAsia="Arial"/>
                <w:b/>
                <w:bCs/>
              </w:rPr>
              <w:t xml:space="preserve">:  </w:t>
            </w:r>
            <w:r>
              <w:rPr>
                <w:rFonts w:eastAsia="Arial"/>
              </w:rPr>
              <w:t>Between $100</w:t>
            </w:r>
            <w:r w:rsidR="007B1E01">
              <w:rPr>
                <w:rFonts w:eastAsia="Arial"/>
              </w:rPr>
              <w:t>K</w:t>
            </w:r>
            <w:r>
              <w:rPr>
                <w:rFonts w:eastAsia="Arial"/>
              </w:rPr>
              <w:t xml:space="preserve"> and $150</w:t>
            </w:r>
            <w:r w:rsidR="007B1E01">
              <w:rPr>
                <w:rFonts w:eastAsia="Arial"/>
              </w:rPr>
              <w:t>K</w:t>
            </w:r>
            <w:r>
              <w:rPr>
                <w:rFonts w:eastAsia="Arial"/>
              </w:rPr>
              <w:t xml:space="preserve"> </w:t>
            </w:r>
          </w:p>
          <w:p w14:paraId="30F48F4F" w14:textId="24596301"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7B1E01">
              <w:rPr>
                <w:rFonts w:eastAsia="Arial"/>
              </w:rPr>
              <w:t xml:space="preserve"> – Priority 2026; Rank 4830</w:t>
            </w:r>
          </w:p>
          <w:p w14:paraId="312A9647" w14:textId="1437D44A" w:rsidR="000D3CCA" w:rsidRDefault="00ED7A6A">
            <w:pPr>
              <w:spacing w:before="0" w:after="0" w:line="240" w:lineRule="auto"/>
              <w:ind w:left="360"/>
              <w:jc w:val="both"/>
            </w:pPr>
            <w:hyperlink r:id="rId38"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NPRR1326 as recommended by PRS in the 7/15/26 PRS Report. </w:t>
            </w:r>
          </w:p>
          <w:p w14:paraId="49D3EDB2"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NPRR1326.</w:t>
            </w:r>
          </w:p>
          <w:p w14:paraId="62529F94"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NPRR1326 and believes it provides a positive market impact by increasing transparency of aggregate ESR SOC information in Real-Time and efficient market response to system conditions.</w:t>
            </w:r>
          </w:p>
          <w:p w14:paraId="16C0C969"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supports NPRR1326.</w:t>
            </w:r>
          </w:p>
          <w:p w14:paraId="7CFB700C" w14:textId="77777777" w:rsidR="000D3CCA" w:rsidRDefault="00ED7A6A">
            <w:pPr>
              <w:spacing w:before="0" w:after="0" w:line="240" w:lineRule="auto"/>
              <w:ind w:left="360"/>
              <w:jc w:val="both"/>
            </w:pPr>
            <w:hyperlink r:id="rId39" w:anchor="keydocs" w:history="1">
              <w:r>
                <w:rPr>
                  <w:rStyle w:val="Hyperlink"/>
                  <w:rFonts w:eastAsia="Arial"/>
                  <w:b/>
                  <w:bCs/>
                </w:rPr>
                <w:t>Key Documents</w:t>
              </w:r>
            </w:hyperlink>
            <w:r>
              <w:rPr>
                <w:rFonts w:eastAsia="Arial"/>
                <w:b/>
                <w:bCs/>
              </w:rPr>
              <w:t xml:space="preserve"> (including comments, ballots, reports and impact analyses)</w:t>
            </w:r>
          </w:p>
          <w:p w14:paraId="55067152" w14:textId="77777777" w:rsidR="000D3CCA" w:rsidRDefault="000D3CCA">
            <w:pPr>
              <w:spacing w:before="0" w:after="0" w:line="240" w:lineRule="auto"/>
            </w:pPr>
          </w:p>
          <w:p w14:paraId="73364575" w14:textId="77777777" w:rsidR="000D3CCA" w:rsidRDefault="00ED7A6A">
            <w:pPr>
              <w:pStyle w:val="ListParagraph"/>
              <w:numPr>
                <w:ilvl w:val="0"/>
                <w:numId w:val="25"/>
              </w:numPr>
              <w:spacing w:before="0" w:after="0" w:line="240" w:lineRule="auto"/>
              <w:ind w:left="360"/>
              <w:contextualSpacing w:val="0"/>
              <w:jc w:val="both"/>
            </w:pPr>
            <w:hyperlink r:id="rId40" w:history="1">
              <w:r>
                <w:rPr>
                  <w:rStyle w:val="Hyperlink"/>
                  <w:rFonts w:eastAsia="Arial"/>
                  <w:b/>
                  <w:bCs/>
                  <w:i/>
                  <w:iCs/>
                </w:rPr>
                <w:t>NPRR1328, Establishment of Generation Firming Program</w:t>
              </w:r>
            </w:hyperlink>
          </w:p>
          <w:p w14:paraId="04137E36" w14:textId="2F246756" w:rsidR="000D3CCA" w:rsidRDefault="00ED7A6A">
            <w:pPr>
              <w:spacing w:before="0" w:after="0" w:line="240" w:lineRule="auto"/>
              <w:ind w:left="360"/>
              <w:jc w:val="both"/>
            </w:pPr>
            <w:r>
              <w:rPr>
                <w:rFonts w:eastAsia="Arial"/>
                <w:b/>
                <w:bCs/>
              </w:rPr>
              <w:t xml:space="preserve">Sponsor:  </w:t>
            </w:r>
            <w:r>
              <w:rPr>
                <w:rFonts w:eastAsia="Arial"/>
              </w:rPr>
              <w:t>ERCOT</w:t>
            </w:r>
          </w:p>
          <w:p w14:paraId="7ADD95E3" w14:textId="00843A3E" w:rsidR="000D3CCA" w:rsidRDefault="00ED7A6A">
            <w:pPr>
              <w:spacing w:before="0" w:after="0" w:line="240" w:lineRule="auto"/>
              <w:ind w:left="360"/>
              <w:jc w:val="both"/>
            </w:pPr>
            <w:r>
              <w:rPr>
                <w:rFonts w:eastAsia="Arial"/>
                <w:b/>
                <w:bCs/>
              </w:rPr>
              <w:t xml:space="preserve">Revision Description:  </w:t>
            </w:r>
            <w:r w:rsidR="007B1E01" w:rsidRPr="007B1E01">
              <w:rPr>
                <w:rFonts w:eastAsia="Arial"/>
              </w:rPr>
              <w:t xml:space="preserve">This NPRR incorporates the new Generation Firming Program requirements, as required by Public Utility Regulatory Act (PURA) § 39.1592 and the </w:t>
            </w:r>
            <w:r w:rsidR="007A310A">
              <w:rPr>
                <w:rFonts w:eastAsia="Arial"/>
              </w:rPr>
              <w:t>PUCT</w:t>
            </w:r>
            <w:r w:rsidR="007B1E01" w:rsidRPr="007B1E01">
              <w:rPr>
                <w:rFonts w:eastAsia="Arial"/>
              </w:rPr>
              <w:t xml:space="preserve"> rule adopted in 16 Texas Administrative Code § 25.65</w:t>
            </w:r>
            <w:r w:rsidR="007B1E01">
              <w:rPr>
                <w:rFonts w:eastAsia="Arial"/>
              </w:rPr>
              <w:t xml:space="preserve">; and </w:t>
            </w:r>
            <w:r w:rsidR="007B1E01" w:rsidRPr="007B1E01">
              <w:rPr>
                <w:rFonts w:eastAsia="Arial"/>
              </w:rPr>
              <w:t>provides details on the administration of the Generation Firming Program, including definitions, timing requirements, processes for submitting Firming Transfers to ERCOT, specific calculations for measuring performance and applying exemptions, and associated market-facing reportin</w:t>
            </w:r>
            <w:r w:rsidR="007B1E01">
              <w:rPr>
                <w:rFonts w:eastAsia="Arial"/>
              </w:rPr>
              <w:t>g.</w:t>
            </w:r>
          </w:p>
          <w:p w14:paraId="0FFED762" w14:textId="588AA751" w:rsidR="007B1E01" w:rsidRDefault="00ED7A6A">
            <w:pPr>
              <w:spacing w:before="0" w:after="0" w:line="240" w:lineRule="auto"/>
              <w:ind w:left="360"/>
              <w:jc w:val="both"/>
              <w:rPr>
                <w:rFonts w:eastAsia="Arial"/>
              </w:rPr>
            </w:pPr>
            <w:hyperlink r:id="rId41" w:history="1">
              <w:r>
                <w:rPr>
                  <w:rStyle w:val="Hyperlink"/>
                  <w:rFonts w:eastAsia="Arial"/>
                  <w:b/>
                  <w:bCs/>
                </w:rPr>
                <w:t>Impact Analysis</w:t>
              </w:r>
            </w:hyperlink>
            <w:r>
              <w:rPr>
                <w:rFonts w:eastAsia="Arial"/>
                <w:b/>
                <w:bCs/>
              </w:rPr>
              <w:t xml:space="preserve">:  </w:t>
            </w:r>
            <w:r>
              <w:rPr>
                <w:rFonts w:eastAsia="Arial"/>
              </w:rPr>
              <w:t xml:space="preserve">$1.0M and $1.5M </w:t>
            </w:r>
          </w:p>
          <w:p w14:paraId="21CC0F1E" w14:textId="56ED4432"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B344B5">
              <w:rPr>
                <w:rFonts w:eastAsia="Arial"/>
              </w:rPr>
              <w:t xml:space="preserve"> – Priority 2026; Rank 460</w:t>
            </w:r>
          </w:p>
          <w:p w14:paraId="2C6CA9DF" w14:textId="7278774F" w:rsidR="000D3CCA" w:rsidRDefault="00ED7A6A">
            <w:pPr>
              <w:spacing w:before="0" w:after="0" w:line="240" w:lineRule="auto"/>
              <w:ind w:left="360"/>
              <w:jc w:val="both"/>
            </w:pPr>
            <w:hyperlink r:id="rId42" w:history="1">
              <w:r>
                <w:rPr>
                  <w:rStyle w:val="Hyperlink"/>
                  <w:rFonts w:eastAsia="Arial"/>
                  <w:b/>
                  <w:bCs/>
                </w:rPr>
                <w:t>TAC Report</w:t>
              </w:r>
            </w:hyperlink>
            <w:r>
              <w:rPr>
                <w:rFonts w:eastAsia="Arial"/>
                <w:b/>
                <w:bCs/>
              </w:rPr>
              <w:t xml:space="preserve">/Decision:  </w:t>
            </w:r>
            <w:r>
              <w:rPr>
                <w:rFonts w:eastAsia="Arial"/>
              </w:rPr>
              <w:t>On 7/29/26, TAC voted unanimously to recommend approval of NPRR1328 as recommended by PRS in the 7/15/2</w:t>
            </w:r>
            <w:r w:rsidR="00D82F86">
              <w:rPr>
                <w:rFonts w:eastAsia="Arial"/>
              </w:rPr>
              <w:t>6</w:t>
            </w:r>
            <w:r>
              <w:rPr>
                <w:rFonts w:eastAsia="Arial"/>
              </w:rPr>
              <w:t xml:space="preserve"> PRS Report. </w:t>
            </w:r>
          </w:p>
          <w:p w14:paraId="5FBD9DC9"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NPRR1328.</w:t>
            </w:r>
          </w:p>
          <w:p w14:paraId="085B16B1"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NPRR1328 and believes the market impact for NPRR1328 implements the new Generation Firming Program as required under 16 Tex. Admin. Code § 25.65.</w:t>
            </w:r>
          </w:p>
          <w:p w14:paraId="298242A5"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NPRR1328 since it is statutory.</w:t>
            </w:r>
          </w:p>
          <w:p w14:paraId="05436C37" w14:textId="77777777" w:rsidR="000D3CCA" w:rsidRDefault="00ED7A6A">
            <w:pPr>
              <w:spacing w:before="0" w:after="0" w:line="240" w:lineRule="auto"/>
              <w:ind w:left="360"/>
              <w:jc w:val="both"/>
            </w:pPr>
            <w:hyperlink r:id="rId43" w:anchor="keydocs" w:history="1">
              <w:r>
                <w:rPr>
                  <w:rStyle w:val="Hyperlink"/>
                  <w:rFonts w:eastAsia="Arial"/>
                  <w:b/>
                  <w:bCs/>
                </w:rPr>
                <w:t>Key Documents</w:t>
              </w:r>
            </w:hyperlink>
            <w:r>
              <w:rPr>
                <w:rFonts w:eastAsia="Arial"/>
                <w:b/>
                <w:bCs/>
              </w:rPr>
              <w:t xml:space="preserve"> (including comments, ballots, reports and impact analyses)</w:t>
            </w:r>
          </w:p>
          <w:p w14:paraId="069B3D45" w14:textId="77777777" w:rsidR="000D3CCA" w:rsidRDefault="000D3CCA">
            <w:pPr>
              <w:spacing w:before="0" w:after="0" w:line="240" w:lineRule="auto"/>
            </w:pPr>
          </w:p>
          <w:p w14:paraId="0C8A37E4" w14:textId="77777777" w:rsidR="000D3CCA" w:rsidRDefault="00ED7A6A">
            <w:pPr>
              <w:pStyle w:val="ListParagraph"/>
              <w:numPr>
                <w:ilvl w:val="0"/>
                <w:numId w:val="25"/>
              </w:numPr>
              <w:spacing w:before="0" w:after="0" w:line="240" w:lineRule="auto"/>
              <w:ind w:left="360"/>
              <w:contextualSpacing w:val="0"/>
              <w:jc w:val="both"/>
            </w:pPr>
            <w:hyperlink r:id="rId44" w:history="1">
              <w:r>
                <w:rPr>
                  <w:rStyle w:val="Hyperlink"/>
                  <w:rFonts w:eastAsia="Arial"/>
                  <w:b/>
                  <w:bCs/>
                  <w:i/>
                  <w:iCs/>
                </w:rPr>
                <w:t>NPRR1329, Resource Entity Requirements for Self-Limiting Facilities</w:t>
              </w:r>
            </w:hyperlink>
          </w:p>
          <w:p w14:paraId="2D8EE5AB" w14:textId="1E24B25B" w:rsidR="000D3CCA" w:rsidRDefault="00ED7A6A">
            <w:pPr>
              <w:spacing w:before="0" w:after="0" w:line="240" w:lineRule="auto"/>
              <w:ind w:left="360"/>
              <w:jc w:val="both"/>
            </w:pPr>
            <w:r>
              <w:rPr>
                <w:rFonts w:eastAsia="Arial"/>
                <w:b/>
                <w:bCs/>
              </w:rPr>
              <w:t xml:space="preserve">Sponsor:  </w:t>
            </w:r>
            <w:r>
              <w:rPr>
                <w:rFonts w:eastAsia="Arial"/>
              </w:rPr>
              <w:t>NextEra Energy Resources, LLC</w:t>
            </w:r>
          </w:p>
          <w:p w14:paraId="5E0DA1AB" w14:textId="14176A91" w:rsidR="000D3CCA" w:rsidRDefault="00ED7A6A">
            <w:pPr>
              <w:spacing w:before="0" w:after="0" w:line="240" w:lineRule="auto"/>
              <w:ind w:left="360"/>
              <w:jc w:val="both"/>
            </w:pPr>
            <w:r>
              <w:rPr>
                <w:rFonts w:eastAsia="Arial"/>
                <w:b/>
                <w:bCs/>
              </w:rPr>
              <w:t xml:space="preserve">Revision Description:  </w:t>
            </w:r>
            <w:r>
              <w:rPr>
                <w:rFonts w:eastAsia="Arial"/>
              </w:rPr>
              <w:t xml:space="preserve">This </w:t>
            </w:r>
            <w:r w:rsidR="007A310A">
              <w:rPr>
                <w:rFonts w:eastAsia="Arial"/>
              </w:rPr>
              <w:t>NPRR</w:t>
            </w:r>
            <w:r>
              <w:rPr>
                <w:rFonts w:eastAsia="Arial"/>
              </w:rPr>
              <w:t xml:space="preserve"> establishes a framework whereby two Resource Entities and their associated Qualified Scheduling Entities (QSEs) may jointly share the responsibility for managing the injection and withdrawal limits at a Point of Interconnection (POI) and formalizes the responsible QSE functions through an attestation process that is deemed acceptable to ERCOT.</w:t>
            </w:r>
          </w:p>
          <w:p w14:paraId="0AE39A0B" w14:textId="231F7CEA" w:rsidR="00B344B5" w:rsidRDefault="00ED7A6A">
            <w:pPr>
              <w:spacing w:before="0" w:after="0" w:line="240" w:lineRule="auto"/>
              <w:ind w:left="360"/>
              <w:jc w:val="both"/>
              <w:rPr>
                <w:rFonts w:eastAsia="Arial"/>
              </w:rPr>
            </w:pPr>
            <w:hyperlink r:id="rId45" w:history="1">
              <w:r>
                <w:rPr>
                  <w:rStyle w:val="Hyperlink"/>
                  <w:rFonts w:eastAsia="Arial"/>
                  <w:b/>
                  <w:bCs/>
                </w:rPr>
                <w:t>Impact Analysis</w:t>
              </w:r>
            </w:hyperlink>
            <w:r>
              <w:rPr>
                <w:rFonts w:eastAsia="Arial"/>
                <w:b/>
                <w:bCs/>
              </w:rPr>
              <w:t xml:space="preserve">:  </w:t>
            </w:r>
            <w:r>
              <w:rPr>
                <w:rFonts w:eastAsia="Arial"/>
              </w:rPr>
              <w:t>Between $150</w:t>
            </w:r>
            <w:r w:rsidR="00B344B5">
              <w:rPr>
                <w:rFonts w:eastAsia="Arial"/>
              </w:rPr>
              <w:t>K</w:t>
            </w:r>
            <w:r>
              <w:rPr>
                <w:rFonts w:eastAsia="Arial"/>
              </w:rPr>
              <w:t xml:space="preserve"> and $250</w:t>
            </w:r>
            <w:r w:rsidR="00B344B5">
              <w:rPr>
                <w:rFonts w:eastAsia="Arial"/>
              </w:rPr>
              <w:t>K</w:t>
            </w:r>
            <w:r>
              <w:rPr>
                <w:rFonts w:eastAsia="Arial"/>
              </w:rPr>
              <w:t xml:space="preserve"> </w:t>
            </w:r>
          </w:p>
          <w:p w14:paraId="4C000113" w14:textId="75B52944"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B344B5">
              <w:rPr>
                <w:rFonts w:eastAsia="Arial"/>
              </w:rPr>
              <w:t xml:space="preserve"> – Priority 2028; Rank 5110</w:t>
            </w:r>
          </w:p>
          <w:p w14:paraId="37361B95" w14:textId="29AD70BA" w:rsidR="000D3CCA" w:rsidRDefault="00ED7A6A">
            <w:pPr>
              <w:spacing w:before="0" w:after="0" w:line="240" w:lineRule="auto"/>
              <w:ind w:left="360"/>
              <w:jc w:val="both"/>
            </w:pPr>
            <w:hyperlink r:id="rId46" w:history="1">
              <w:r w:rsidRPr="004742F3">
                <w:rPr>
                  <w:rStyle w:val="Hyperlink"/>
                  <w:rFonts w:eastAsia="Arial"/>
                  <w:b/>
                  <w:bCs/>
                </w:rPr>
                <w:t>TAC Report</w:t>
              </w:r>
            </w:hyperlink>
            <w:r>
              <w:rPr>
                <w:rFonts w:eastAsia="Arial"/>
                <w:b/>
                <w:bCs/>
              </w:rPr>
              <w:t xml:space="preserve">/Decision:  </w:t>
            </w:r>
            <w:r w:rsidR="004742F3">
              <w:t>On 8/26/26, TAC voted unanimously to</w:t>
            </w:r>
            <w:r w:rsidR="004742F3" w:rsidRPr="00962997">
              <w:t xml:space="preserve"> recommend approval of NPRR1</w:t>
            </w:r>
            <w:r w:rsidR="004742F3">
              <w:t>329</w:t>
            </w:r>
            <w:r w:rsidR="004742F3" w:rsidRPr="00962997">
              <w:t xml:space="preserve"> as recommended by PRS in the </w:t>
            </w:r>
            <w:r w:rsidR="004742F3">
              <w:t>8/12</w:t>
            </w:r>
            <w:r w:rsidR="004742F3" w:rsidRPr="00962997">
              <w:t>/26 PRS Report</w:t>
            </w:r>
            <w:r w:rsidR="004742F3">
              <w:t>.</w:t>
            </w:r>
          </w:p>
          <w:p w14:paraId="31CCE943"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NPRR1329.</w:t>
            </w:r>
          </w:p>
          <w:p w14:paraId="1D1D89C8"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NPRR1329 and believes it provides a positive market impact by supporting coordinated grid operations and reliability with joint accountability between Resource Entities and their QSEs for injection or withdrawal limits at the POI, and an attestation that ensures both parties fulfill compliance requirements and maintain system integrity.</w:t>
            </w:r>
          </w:p>
          <w:p w14:paraId="113B7A5A"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NPRR1329.</w:t>
            </w:r>
          </w:p>
          <w:p w14:paraId="31D1871E" w14:textId="77777777" w:rsidR="000D3CCA" w:rsidRDefault="00ED7A6A">
            <w:pPr>
              <w:spacing w:before="0" w:after="0" w:line="240" w:lineRule="auto"/>
              <w:ind w:left="360"/>
              <w:jc w:val="both"/>
            </w:pPr>
            <w:hyperlink r:id="rId47" w:anchor="keydocs" w:history="1">
              <w:r>
                <w:rPr>
                  <w:rStyle w:val="Hyperlink"/>
                  <w:rFonts w:eastAsia="Arial"/>
                  <w:b/>
                  <w:bCs/>
                </w:rPr>
                <w:t>Key Documents</w:t>
              </w:r>
            </w:hyperlink>
            <w:r>
              <w:rPr>
                <w:rFonts w:eastAsia="Arial"/>
                <w:b/>
                <w:bCs/>
              </w:rPr>
              <w:t xml:space="preserve"> (including comments, ballots, reports and impact analyses)</w:t>
            </w:r>
          </w:p>
          <w:p w14:paraId="4E395B1F" w14:textId="77777777" w:rsidR="000D3CCA" w:rsidRDefault="000D3CCA">
            <w:pPr>
              <w:spacing w:before="0" w:after="0" w:line="240" w:lineRule="auto"/>
            </w:pPr>
          </w:p>
          <w:p w14:paraId="09698A35" w14:textId="77777777" w:rsidR="000D3CCA" w:rsidRDefault="00ED7A6A">
            <w:pPr>
              <w:pStyle w:val="ListParagraph"/>
              <w:numPr>
                <w:ilvl w:val="0"/>
                <w:numId w:val="25"/>
              </w:numPr>
              <w:spacing w:before="0" w:after="0" w:line="240" w:lineRule="auto"/>
              <w:ind w:left="360"/>
              <w:contextualSpacing w:val="0"/>
              <w:jc w:val="both"/>
            </w:pPr>
            <w:hyperlink r:id="rId48" w:history="1">
              <w:r>
                <w:rPr>
                  <w:rStyle w:val="Hyperlink"/>
                  <w:rFonts w:eastAsia="Arial"/>
                  <w:b/>
                  <w:bCs/>
                  <w:i/>
                  <w:iCs/>
                </w:rPr>
                <w:t>NPRR1331, Unannounced Generation Capacity Testing</w:t>
              </w:r>
            </w:hyperlink>
          </w:p>
          <w:p w14:paraId="30E7D3D8" w14:textId="25C07444" w:rsidR="000D3CCA" w:rsidRDefault="00ED7A6A">
            <w:pPr>
              <w:spacing w:before="0" w:after="0" w:line="240" w:lineRule="auto"/>
              <w:ind w:left="360"/>
              <w:jc w:val="both"/>
            </w:pPr>
            <w:r>
              <w:rPr>
                <w:rFonts w:eastAsia="Arial"/>
                <w:b/>
                <w:bCs/>
              </w:rPr>
              <w:t xml:space="preserve">Sponsor:  </w:t>
            </w:r>
            <w:r>
              <w:rPr>
                <w:rFonts w:eastAsia="Arial"/>
              </w:rPr>
              <w:t>Constellation Energy Generation</w:t>
            </w:r>
          </w:p>
          <w:p w14:paraId="48B6CEF9" w14:textId="37DD81BB" w:rsidR="000D3CCA" w:rsidRDefault="00ED7A6A">
            <w:pPr>
              <w:spacing w:before="0" w:after="0" w:line="240" w:lineRule="auto"/>
              <w:ind w:left="360"/>
              <w:jc w:val="both"/>
            </w:pPr>
            <w:r>
              <w:rPr>
                <w:rFonts w:eastAsia="Arial"/>
                <w:b/>
                <w:bCs/>
              </w:rPr>
              <w:t xml:space="preserve">Revision Description:  </w:t>
            </w:r>
            <w:r>
              <w:rPr>
                <w:rFonts w:eastAsia="Arial"/>
              </w:rPr>
              <w:t>This NPRR aligns the allowed timeframe for “Combined Cycle Generators” during an unannounced generation capacity test with their observed performance.</w:t>
            </w:r>
          </w:p>
          <w:p w14:paraId="0282B01D" w14:textId="5FE2BB2A" w:rsidR="00B344B5" w:rsidRDefault="00ED7A6A">
            <w:pPr>
              <w:spacing w:before="0" w:after="0" w:line="240" w:lineRule="auto"/>
              <w:ind w:left="360"/>
              <w:jc w:val="both"/>
              <w:rPr>
                <w:rFonts w:eastAsia="Arial"/>
              </w:rPr>
            </w:pPr>
            <w:hyperlink r:id="rId49" w:history="1">
              <w:r>
                <w:rPr>
                  <w:rStyle w:val="Hyperlink"/>
                  <w:rFonts w:eastAsia="Arial"/>
                  <w:b/>
                  <w:bCs/>
                </w:rPr>
                <w:t>Impact Analysis</w:t>
              </w:r>
            </w:hyperlink>
            <w:r>
              <w:rPr>
                <w:rFonts w:eastAsia="Arial"/>
                <w:b/>
                <w:bCs/>
              </w:rPr>
              <w:t xml:space="preserve">:  </w:t>
            </w:r>
            <w:r>
              <w:rPr>
                <w:rFonts w:eastAsia="Arial"/>
              </w:rPr>
              <w:t>Less than $20</w:t>
            </w:r>
            <w:r w:rsidR="00B344B5">
              <w:rPr>
                <w:rFonts w:eastAsia="Arial"/>
              </w:rPr>
              <w:t>K</w:t>
            </w:r>
            <w:r>
              <w:rPr>
                <w:rFonts w:eastAsia="Arial"/>
              </w:rPr>
              <w:t xml:space="preserve"> </w:t>
            </w:r>
            <w:r w:rsidR="00281C0A">
              <w:rPr>
                <w:rFonts w:eastAsia="Arial"/>
              </w:rPr>
              <w:t xml:space="preserve">Operations &amp; Maintenance </w:t>
            </w:r>
            <w:r>
              <w:rPr>
                <w:rFonts w:eastAsia="Arial"/>
              </w:rPr>
              <w:t xml:space="preserve">(O&amp;M) </w:t>
            </w:r>
          </w:p>
          <w:p w14:paraId="282F0791" w14:textId="57416313"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p>
          <w:p w14:paraId="2F4208BD" w14:textId="6466A7CB" w:rsidR="000D3CCA" w:rsidRDefault="00ED7A6A">
            <w:pPr>
              <w:spacing w:before="0" w:after="0" w:line="240" w:lineRule="auto"/>
              <w:ind w:left="360"/>
              <w:jc w:val="both"/>
            </w:pPr>
            <w:hyperlink r:id="rId50" w:history="1">
              <w:r w:rsidRPr="00B344B5">
                <w:rPr>
                  <w:rStyle w:val="Hyperlink"/>
                  <w:rFonts w:eastAsia="Arial"/>
                  <w:b/>
                  <w:bCs/>
                </w:rPr>
                <w:t>TAC Report</w:t>
              </w:r>
            </w:hyperlink>
            <w:r>
              <w:rPr>
                <w:rFonts w:eastAsia="Arial"/>
                <w:b/>
                <w:bCs/>
              </w:rPr>
              <w:t xml:space="preserve">/Decision:  </w:t>
            </w:r>
            <w:r w:rsidR="00B344B5" w:rsidRPr="00B344B5">
              <w:rPr>
                <w:rFonts w:eastAsia="Arial"/>
              </w:rPr>
              <w:t>On 8/26/26, TAC voted unanimously to recommend approval of NPRR1331 as recommended by PRS in the 8/12/26 PRS Report.</w:t>
            </w:r>
            <w:r w:rsidR="00B344B5" w:rsidRPr="00B344B5">
              <w:rPr>
                <w:rFonts w:eastAsia="Arial"/>
                <w:b/>
                <w:bCs/>
              </w:rPr>
              <w:t xml:space="preserve"> </w:t>
            </w:r>
          </w:p>
          <w:p w14:paraId="135603F1"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NPRR1331.</w:t>
            </w:r>
          </w:p>
          <w:p w14:paraId="65E200C0"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NPRR1331 and believes that it provides a positive market impact through process improvement by aligning the allowed timeframe for “Combined Cycle Generators” during an unannounced generation capacity test with their observed operational performance, while preserving the reliability purpose of the unannounced High Sustained Limit (HSL) tests.</w:t>
            </w:r>
          </w:p>
          <w:p w14:paraId="2A43BB8A" w14:textId="26258105" w:rsidR="000D3CCA" w:rsidRDefault="00ED7A6A">
            <w:pPr>
              <w:spacing w:before="0" w:after="0" w:line="240" w:lineRule="auto"/>
              <w:ind w:left="360"/>
              <w:jc w:val="both"/>
            </w:pPr>
            <w:r>
              <w:rPr>
                <w:rFonts w:eastAsia="Arial"/>
                <w:b/>
                <w:bCs/>
              </w:rPr>
              <w:t xml:space="preserve">Independent Market Monitor (IMM) Opinion:  </w:t>
            </w:r>
            <w:r w:rsidR="00B344B5">
              <w:rPr>
                <w:rFonts w:eastAsia="Arial"/>
              </w:rPr>
              <w:t>IMM has no opinion on NPRR1331.</w:t>
            </w:r>
          </w:p>
          <w:p w14:paraId="037E654B" w14:textId="77777777" w:rsidR="000D3CCA" w:rsidRDefault="00ED7A6A">
            <w:pPr>
              <w:spacing w:before="0" w:after="0" w:line="240" w:lineRule="auto"/>
              <w:ind w:left="360"/>
              <w:jc w:val="both"/>
            </w:pPr>
            <w:hyperlink r:id="rId51" w:anchor="keydocs" w:history="1">
              <w:r>
                <w:rPr>
                  <w:rStyle w:val="Hyperlink"/>
                  <w:rFonts w:eastAsia="Arial"/>
                  <w:b/>
                  <w:bCs/>
                </w:rPr>
                <w:t>Key Documents</w:t>
              </w:r>
            </w:hyperlink>
            <w:r>
              <w:rPr>
                <w:rFonts w:eastAsia="Arial"/>
                <w:b/>
                <w:bCs/>
              </w:rPr>
              <w:t xml:space="preserve"> (including comments, ballots, reports and impact analyses)</w:t>
            </w:r>
          </w:p>
          <w:p w14:paraId="23009EA7" w14:textId="77777777" w:rsidR="000D3CCA" w:rsidRDefault="000D3CCA">
            <w:pPr>
              <w:spacing w:before="0" w:after="0" w:line="240" w:lineRule="auto"/>
            </w:pPr>
          </w:p>
          <w:p w14:paraId="69D32D2E" w14:textId="77777777" w:rsidR="000D3CCA" w:rsidRDefault="00ED7A6A">
            <w:pPr>
              <w:pStyle w:val="ListParagraph"/>
              <w:numPr>
                <w:ilvl w:val="0"/>
                <w:numId w:val="25"/>
              </w:numPr>
              <w:spacing w:before="0" w:after="0" w:line="240" w:lineRule="auto"/>
              <w:ind w:left="360"/>
              <w:contextualSpacing w:val="0"/>
              <w:jc w:val="both"/>
            </w:pPr>
            <w:hyperlink r:id="rId52" w:history="1">
              <w:r>
                <w:rPr>
                  <w:rStyle w:val="Hyperlink"/>
                  <w:rFonts w:eastAsia="Arial"/>
                  <w:b/>
                  <w:bCs/>
                  <w:i/>
                  <w:iCs/>
                </w:rPr>
                <w:t>NPRR1335, Implementation of PUCT Changes to Firm Fuel Supply Service for Phase 3</w:t>
              </w:r>
            </w:hyperlink>
          </w:p>
          <w:p w14:paraId="6579269C" w14:textId="3A20E6D9" w:rsidR="000D3CCA" w:rsidRDefault="00ED7A6A">
            <w:pPr>
              <w:spacing w:before="0" w:after="0" w:line="240" w:lineRule="auto"/>
              <w:ind w:left="360"/>
              <w:jc w:val="both"/>
            </w:pPr>
            <w:r>
              <w:rPr>
                <w:rFonts w:eastAsia="Arial"/>
                <w:b/>
                <w:bCs/>
              </w:rPr>
              <w:t xml:space="preserve">Sponsor:  </w:t>
            </w:r>
            <w:r>
              <w:rPr>
                <w:rFonts w:eastAsia="Arial"/>
              </w:rPr>
              <w:t>ERCOT</w:t>
            </w:r>
          </w:p>
          <w:p w14:paraId="73CB13E6" w14:textId="066DF34A" w:rsidR="000D3CCA" w:rsidRDefault="00ED7A6A">
            <w:pPr>
              <w:spacing w:before="0" w:after="0" w:line="240" w:lineRule="auto"/>
              <w:ind w:left="360"/>
              <w:jc w:val="both"/>
            </w:pPr>
            <w:r>
              <w:rPr>
                <w:rFonts w:eastAsia="Arial"/>
                <w:b/>
                <w:bCs/>
              </w:rPr>
              <w:lastRenderedPageBreak/>
              <w:t xml:space="preserve">Revision Description:  </w:t>
            </w:r>
            <w:r w:rsidR="00070E52" w:rsidRPr="00070E52">
              <w:rPr>
                <w:rFonts w:eastAsia="Arial"/>
              </w:rPr>
              <w:t>This</w:t>
            </w:r>
            <w:r w:rsidR="007A310A">
              <w:rPr>
                <w:rFonts w:eastAsia="Arial"/>
              </w:rPr>
              <w:t xml:space="preserve"> NPRR</w:t>
            </w:r>
            <w:r w:rsidR="00070E52" w:rsidRPr="00070E52">
              <w:rPr>
                <w:rFonts w:eastAsia="Arial"/>
              </w:rPr>
              <w:t xml:space="preserve"> aligns the Protocols with the PUCT’s recent adoption of a rule to govern Firm Fuel Supply Service (FFSS): 16 Texas Administrative Code (TAC) § 25.520</w:t>
            </w:r>
            <w:r w:rsidR="00070E52">
              <w:rPr>
                <w:rFonts w:eastAsia="Arial"/>
              </w:rPr>
              <w:t xml:space="preserve">; </w:t>
            </w:r>
            <w:r w:rsidR="00070E52" w:rsidRPr="00070E52">
              <w:rPr>
                <w:rFonts w:eastAsia="Arial"/>
              </w:rPr>
              <w:t>updates the criteria for a Resource to participate in the FFSS program</w:t>
            </w:r>
            <w:r w:rsidR="00070E52">
              <w:rPr>
                <w:rFonts w:eastAsia="Arial"/>
              </w:rPr>
              <w:t xml:space="preserve">; </w:t>
            </w:r>
            <w:r w:rsidR="00070E52" w:rsidRPr="00070E52">
              <w:rPr>
                <w:rFonts w:eastAsia="Arial"/>
              </w:rPr>
              <w:t>describes how ERCOT must calculate the FFSS Offer Caps as a function of maximum hours per deployment, heat rate, and fuel price</w:t>
            </w:r>
            <w:r w:rsidR="00070E52">
              <w:rPr>
                <w:rFonts w:eastAsia="Arial"/>
              </w:rPr>
              <w:t xml:space="preserve">; </w:t>
            </w:r>
            <w:r w:rsidR="00070E52" w:rsidRPr="00070E52">
              <w:rPr>
                <w:rFonts w:eastAsia="Arial"/>
              </w:rPr>
              <w:t>includes an ERCOT requirement to establish a single market clearing price mechanism for Resources eligible to provide FFSS under the on-site FFSS category and the Resource-controlled FFSS category</w:t>
            </w:r>
            <w:r w:rsidR="00070E52">
              <w:rPr>
                <w:rFonts w:eastAsia="Arial"/>
              </w:rPr>
              <w:t xml:space="preserve">; and </w:t>
            </w:r>
            <w:r w:rsidR="00070E52" w:rsidRPr="00070E52">
              <w:rPr>
                <w:rFonts w:eastAsia="Arial"/>
              </w:rPr>
              <w:t>establishes an FFSS Agreement, as directed by 16 TAC § 25.520, and adds that the Agreement itself is not considered Protected Information under the Protocol</w:t>
            </w:r>
            <w:r w:rsidR="00070E52">
              <w:rPr>
                <w:rFonts w:eastAsia="Arial"/>
              </w:rPr>
              <w:t>s.</w:t>
            </w:r>
          </w:p>
          <w:p w14:paraId="76B79DE1" w14:textId="77811E57" w:rsidR="00070E52" w:rsidRDefault="00ED7A6A">
            <w:pPr>
              <w:spacing w:before="0" w:after="0" w:line="240" w:lineRule="auto"/>
              <w:ind w:left="360"/>
              <w:jc w:val="both"/>
              <w:rPr>
                <w:rFonts w:eastAsia="Arial"/>
              </w:rPr>
            </w:pPr>
            <w:hyperlink r:id="rId53" w:history="1">
              <w:r>
                <w:rPr>
                  <w:rStyle w:val="Hyperlink"/>
                  <w:rFonts w:eastAsia="Arial"/>
                  <w:b/>
                  <w:bCs/>
                </w:rPr>
                <w:t>Impact Analysis</w:t>
              </w:r>
            </w:hyperlink>
            <w:r>
              <w:rPr>
                <w:rFonts w:eastAsia="Arial"/>
                <w:b/>
                <w:bCs/>
              </w:rPr>
              <w:t xml:space="preserve">:  </w:t>
            </w:r>
            <w:r>
              <w:rPr>
                <w:rFonts w:eastAsia="Arial"/>
              </w:rPr>
              <w:t xml:space="preserve">Less than $10K (O&amp;M) </w:t>
            </w:r>
          </w:p>
          <w:p w14:paraId="50C7479A" w14:textId="5EC6914A" w:rsidR="000D3CCA" w:rsidRDefault="00ED7A6A">
            <w:pPr>
              <w:spacing w:before="0" w:after="0" w:line="240" w:lineRule="auto"/>
              <w:ind w:left="360"/>
              <w:jc w:val="both"/>
            </w:pPr>
            <w:r>
              <w:rPr>
                <w:rFonts w:eastAsia="Arial"/>
                <w:b/>
                <w:bCs/>
              </w:rPr>
              <w:t xml:space="preserve">Proposed Effective Date:  </w:t>
            </w:r>
            <w:r>
              <w:rPr>
                <w:rFonts w:eastAsia="Arial"/>
              </w:rPr>
              <w:t>The day following P</w:t>
            </w:r>
            <w:r w:rsidR="007A310A">
              <w:rPr>
                <w:rFonts w:eastAsia="Arial"/>
              </w:rPr>
              <w:t>UCT approval</w:t>
            </w:r>
          </w:p>
          <w:p w14:paraId="0812D244" w14:textId="52061103" w:rsidR="000D3CCA" w:rsidRDefault="00ED7A6A">
            <w:pPr>
              <w:spacing w:before="0" w:after="0" w:line="240" w:lineRule="auto"/>
              <w:ind w:left="360"/>
              <w:jc w:val="both"/>
            </w:pPr>
            <w:hyperlink r:id="rId54" w:history="1">
              <w:r w:rsidRPr="00070E52">
                <w:rPr>
                  <w:rStyle w:val="Hyperlink"/>
                  <w:rFonts w:eastAsia="Arial"/>
                  <w:b/>
                  <w:bCs/>
                </w:rPr>
                <w:t>TAC Report</w:t>
              </w:r>
            </w:hyperlink>
            <w:r>
              <w:rPr>
                <w:rFonts w:eastAsia="Arial"/>
                <w:b/>
                <w:bCs/>
              </w:rPr>
              <w:t>/Decision:</w:t>
            </w:r>
            <w:r w:rsidRPr="00070E52">
              <w:rPr>
                <w:rFonts w:eastAsia="Arial"/>
              </w:rPr>
              <w:t xml:space="preserve">  </w:t>
            </w:r>
            <w:r w:rsidR="00070E52" w:rsidRPr="00070E52">
              <w:rPr>
                <w:rFonts w:eastAsia="Arial"/>
              </w:rPr>
              <w:t>On 8/26/26, TAC voted unanimously to recommend approval of NPRR1335 as recommended by PRS in the 8/12/26 PRS Report.</w:t>
            </w:r>
          </w:p>
          <w:p w14:paraId="3F6FAA84"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NPRR1335.</w:t>
            </w:r>
          </w:p>
          <w:p w14:paraId="39ED6478"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NPRR1335 and believes the market impact for NPRR1335 ensures that the Protocols are consistent with the PUCT’s FFSS rule as required by 16 TAC § 25.520(j).</w:t>
            </w:r>
          </w:p>
          <w:p w14:paraId="63341341"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NPRR1335.</w:t>
            </w:r>
          </w:p>
          <w:p w14:paraId="5FD37F46" w14:textId="77777777" w:rsidR="000D3CCA" w:rsidRDefault="00ED7A6A">
            <w:pPr>
              <w:spacing w:before="0" w:after="0" w:line="240" w:lineRule="auto"/>
              <w:ind w:left="360"/>
              <w:jc w:val="both"/>
            </w:pPr>
            <w:hyperlink r:id="rId55" w:anchor="keydocs" w:history="1">
              <w:r>
                <w:rPr>
                  <w:rStyle w:val="Hyperlink"/>
                  <w:rFonts w:eastAsia="Arial"/>
                  <w:b/>
                  <w:bCs/>
                </w:rPr>
                <w:t>Key Documents</w:t>
              </w:r>
            </w:hyperlink>
            <w:r>
              <w:rPr>
                <w:rFonts w:eastAsia="Arial"/>
                <w:b/>
                <w:bCs/>
              </w:rPr>
              <w:t xml:space="preserve"> (including comments, ballots, reports and impact analyses)</w:t>
            </w:r>
          </w:p>
          <w:p w14:paraId="4FC69864" w14:textId="77777777" w:rsidR="000D3CCA" w:rsidRDefault="000D3CCA">
            <w:pPr>
              <w:spacing w:before="0" w:after="0" w:line="240" w:lineRule="auto"/>
            </w:pPr>
          </w:p>
          <w:p w14:paraId="10D106C1" w14:textId="77777777" w:rsidR="000D3CCA" w:rsidRPr="0018175D" w:rsidRDefault="00ED7A6A">
            <w:pPr>
              <w:pStyle w:val="ListParagraph"/>
              <w:numPr>
                <w:ilvl w:val="0"/>
                <w:numId w:val="25"/>
              </w:numPr>
              <w:spacing w:before="0" w:after="0" w:line="240" w:lineRule="auto"/>
              <w:ind w:left="360"/>
              <w:contextualSpacing w:val="0"/>
              <w:jc w:val="both"/>
            </w:pPr>
            <w:hyperlink r:id="rId56" w:history="1">
              <w:r w:rsidRPr="0018175D">
                <w:rPr>
                  <w:rStyle w:val="Hyperlink"/>
                  <w:rFonts w:eastAsia="Arial"/>
                  <w:b/>
                  <w:bCs/>
                  <w:i/>
                  <w:iCs/>
                </w:rPr>
                <w:t>NPRR1336, Language Clean-up for NPRR1188 Implementation</w:t>
              </w:r>
            </w:hyperlink>
          </w:p>
          <w:p w14:paraId="3DFCC619" w14:textId="7B2A49FD" w:rsidR="000D3CCA" w:rsidRDefault="00ED7A6A">
            <w:pPr>
              <w:spacing w:before="0" w:after="0" w:line="240" w:lineRule="auto"/>
              <w:ind w:left="360"/>
              <w:jc w:val="both"/>
            </w:pPr>
            <w:r>
              <w:rPr>
                <w:rFonts w:eastAsia="Arial"/>
                <w:b/>
                <w:bCs/>
              </w:rPr>
              <w:t xml:space="preserve">Sponsor:  </w:t>
            </w:r>
            <w:r>
              <w:rPr>
                <w:rFonts w:eastAsia="Arial"/>
              </w:rPr>
              <w:t>ERCOT</w:t>
            </w:r>
          </w:p>
          <w:p w14:paraId="25487876" w14:textId="3594BE15" w:rsidR="000D3CCA" w:rsidRDefault="00ED7A6A">
            <w:pPr>
              <w:spacing w:before="0" w:after="0" w:line="240" w:lineRule="auto"/>
              <w:ind w:left="360"/>
              <w:jc w:val="both"/>
            </w:pPr>
            <w:r>
              <w:rPr>
                <w:rFonts w:eastAsia="Arial"/>
                <w:b/>
                <w:bCs/>
              </w:rPr>
              <w:t xml:space="preserve">Revision Description:  </w:t>
            </w:r>
            <w:r>
              <w:rPr>
                <w:rFonts w:eastAsia="Arial"/>
              </w:rPr>
              <w:t>This NPRR corrects several Protocol references tied to NPRR1188</w:t>
            </w:r>
            <w:r w:rsidR="00186335">
              <w:rPr>
                <w:rFonts w:eastAsia="Arial"/>
              </w:rPr>
              <w:t>, Implement Nodal Dispatch and Energy Settlement for Controllable Load Resources,</w:t>
            </w:r>
            <w:r>
              <w:rPr>
                <w:rFonts w:eastAsia="Arial"/>
              </w:rPr>
              <w:t xml:space="preserve"> implementation, including replacing Updated Desired Base Points with Updated Desired Set Points (UDSPs), fixing a </w:t>
            </w:r>
            <w:r w:rsidR="007A310A">
              <w:rPr>
                <w:rFonts w:eastAsia="Arial"/>
              </w:rPr>
              <w:t>Controllable Load Resource (</w:t>
            </w:r>
            <w:r>
              <w:rPr>
                <w:rFonts w:eastAsia="Arial"/>
              </w:rPr>
              <w:t>CLR</w:t>
            </w:r>
            <w:r w:rsidR="007A310A">
              <w:rPr>
                <w:rFonts w:eastAsia="Arial"/>
              </w:rPr>
              <w:t>)</w:t>
            </w:r>
            <w:r>
              <w:rPr>
                <w:rFonts w:eastAsia="Arial"/>
              </w:rPr>
              <w:t xml:space="preserve"> meter price formula, clarifying treatment of Unaccounted For Energy in bill determinants, aligning MEBR variable definitions, and clarifying Settlement of unmeasured ESR auxiliary Load.</w:t>
            </w:r>
          </w:p>
          <w:p w14:paraId="2CE0F308" w14:textId="2F75EC83" w:rsidR="0018175D" w:rsidRPr="007A310A" w:rsidRDefault="00ED7A6A" w:rsidP="007A310A">
            <w:pPr>
              <w:spacing w:before="0" w:after="0" w:line="240" w:lineRule="auto"/>
              <w:ind w:left="360"/>
              <w:jc w:val="both"/>
            </w:pPr>
            <w:hyperlink r:id="rId57" w:history="1">
              <w:r>
                <w:rPr>
                  <w:rStyle w:val="Hyperlink"/>
                  <w:rFonts w:eastAsia="Arial"/>
                  <w:b/>
                  <w:bCs/>
                </w:rPr>
                <w:t>Impact Analysis</w:t>
              </w:r>
            </w:hyperlink>
            <w:r>
              <w:rPr>
                <w:rFonts w:eastAsia="Arial"/>
                <w:b/>
                <w:bCs/>
              </w:rPr>
              <w:t xml:space="preserve">:  </w:t>
            </w:r>
            <w:r w:rsidR="0018175D">
              <w:rPr>
                <w:rFonts w:eastAsia="Arial"/>
              </w:rPr>
              <w:t>No impact (</w:t>
            </w:r>
            <w:r w:rsidR="0018175D" w:rsidRPr="0018175D">
              <w:rPr>
                <w:rFonts w:eastAsia="Arial"/>
              </w:rPr>
              <w:t>There are no additional impacts to this NPRR beyond what was captured in the Impact Analysis</w:t>
            </w:r>
            <w:r w:rsidR="0018175D">
              <w:rPr>
                <w:rFonts w:eastAsia="Arial"/>
              </w:rPr>
              <w:t xml:space="preserve"> </w:t>
            </w:r>
            <w:r w:rsidR="0018175D" w:rsidRPr="0018175D">
              <w:rPr>
                <w:rFonts w:eastAsia="Arial"/>
              </w:rPr>
              <w:t>for NPRR1188.</w:t>
            </w:r>
            <w:r w:rsidR="0018175D">
              <w:rPr>
                <w:rFonts w:eastAsia="Arial"/>
              </w:rPr>
              <w:t>)</w:t>
            </w:r>
          </w:p>
          <w:p w14:paraId="6842165D" w14:textId="1325EABE" w:rsidR="000D3CCA" w:rsidRDefault="00ED7A6A">
            <w:pPr>
              <w:spacing w:before="0" w:after="0" w:line="240" w:lineRule="auto"/>
              <w:ind w:left="360"/>
              <w:jc w:val="both"/>
            </w:pPr>
            <w:r>
              <w:rPr>
                <w:rFonts w:eastAsia="Arial"/>
              </w:rPr>
              <w:t xml:space="preserve"> </w:t>
            </w:r>
            <w:r>
              <w:rPr>
                <w:rFonts w:eastAsia="Arial"/>
                <w:b/>
                <w:bCs/>
              </w:rPr>
              <w:t xml:space="preserve">Proposed Effective Date:  </w:t>
            </w:r>
            <w:r>
              <w:rPr>
                <w:rFonts w:eastAsia="Arial"/>
              </w:rPr>
              <w:t xml:space="preserve">Upon implementation of </w:t>
            </w:r>
            <w:r w:rsidR="0018175D">
              <w:rPr>
                <w:rFonts w:eastAsia="Arial"/>
              </w:rPr>
              <w:t>NPRR</w:t>
            </w:r>
            <w:r>
              <w:rPr>
                <w:rFonts w:eastAsia="Arial"/>
              </w:rPr>
              <w:t>1188</w:t>
            </w:r>
          </w:p>
          <w:p w14:paraId="4A60E346" w14:textId="7404B42E" w:rsidR="000D3CCA" w:rsidRDefault="00ED7A6A">
            <w:pPr>
              <w:spacing w:before="0" w:after="0" w:line="240" w:lineRule="auto"/>
              <w:ind w:left="360"/>
              <w:jc w:val="both"/>
            </w:pPr>
            <w:hyperlink r:id="rId58" w:history="1">
              <w:r w:rsidRPr="0018175D">
                <w:rPr>
                  <w:rStyle w:val="Hyperlink"/>
                  <w:rFonts w:eastAsia="Arial"/>
                  <w:b/>
                  <w:bCs/>
                </w:rPr>
                <w:t>TAC Report</w:t>
              </w:r>
            </w:hyperlink>
            <w:r>
              <w:rPr>
                <w:rFonts w:eastAsia="Arial"/>
                <w:b/>
                <w:bCs/>
              </w:rPr>
              <w:t xml:space="preserve">/Decision:  </w:t>
            </w:r>
            <w:r w:rsidR="0018175D" w:rsidRPr="0018175D">
              <w:rPr>
                <w:rFonts w:eastAsia="Arial"/>
              </w:rPr>
              <w:t>On 8/26/26, TAC voted unanimously to recommend approval of NPRR1336 as recommended by PRS in the 8/12/26 PRS Report.</w:t>
            </w:r>
          </w:p>
          <w:p w14:paraId="33110B28"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NPRR1336.</w:t>
            </w:r>
          </w:p>
          <w:p w14:paraId="2FE5BC8D"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NPRR1336 and believes it provides process improvements by correcting language related to the implementation of NPRR1188.</w:t>
            </w:r>
          </w:p>
          <w:p w14:paraId="1B7F2E7D" w14:textId="5CE72D09" w:rsidR="000D3CCA" w:rsidRDefault="00ED7A6A">
            <w:pPr>
              <w:spacing w:before="0" w:after="0" w:line="240" w:lineRule="auto"/>
              <w:ind w:left="360"/>
              <w:jc w:val="both"/>
            </w:pPr>
            <w:r>
              <w:rPr>
                <w:rFonts w:eastAsia="Arial"/>
                <w:b/>
                <w:bCs/>
              </w:rPr>
              <w:t xml:space="preserve">Independent Market Monitor (IMM) Opinion:  </w:t>
            </w:r>
            <w:r w:rsidR="0018175D">
              <w:rPr>
                <w:rFonts w:eastAsia="Arial"/>
              </w:rPr>
              <w:t>IMM has no opinion on NPRR1336.</w:t>
            </w:r>
          </w:p>
          <w:p w14:paraId="79272CE6" w14:textId="77777777" w:rsidR="000D3CCA" w:rsidRDefault="00ED7A6A">
            <w:pPr>
              <w:spacing w:before="0" w:after="0" w:line="240" w:lineRule="auto"/>
              <w:ind w:left="360"/>
              <w:jc w:val="both"/>
            </w:pPr>
            <w:hyperlink r:id="rId59" w:anchor="keydocs" w:history="1">
              <w:r>
                <w:rPr>
                  <w:rStyle w:val="Hyperlink"/>
                  <w:rFonts w:eastAsia="Arial"/>
                  <w:b/>
                  <w:bCs/>
                </w:rPr>
                <w:t>Key Documents</w:t>
              </w:r>
            </w:hyperlink>
            <w:r>
              <w:rPr>
                <w:rFonts w:eastAsia="Arial"/>
                <w:b/>
                <w:bCs/>
              </w:rPr>
              <w:t xml:space="preserve"> (including comments, ballots, reports and impact analyses)</w:t>
            </w:r>
          </w:p>
          <w:p w14:paraId="6EF27C4C" w14:textId="77777777" w:rsidR="000D3CCA" w:rsidRDefault="000D3CCA">
            <w:pPr>
              <w:spacing w:before="0" w:after="0" w:line="240" w:lineRule="auto"/>
            </w:pPr>
          </w:p>
          <w:p w14:paraId="67975C7A" w14:textId="77777777" w:rsidR="000D3CCA" w:rsidRDefault="00ED7A6A">
            <w:pPr>
              <w:pStyle w:val="ListParagraph"/>
              <w:numPr>
                <w:ilvl w:val="0"/>
                <w:numId w:val="25"/>
              </w:numPr>
              <w:spacing w:before="0" w:after="0" w:line="240" w:lineRule="auto"/>
              <w:ind w:left="360"/>
              <w:contextualSpacing w:val="0"/>
              <w:jc w:val="both"/>
            </w:pPr>
            <w:hyperlink r:id="rId60" w:history="1">
              <w:r>
                <w:rPr>
                  <w:rStyle w:val="Hyperlink"/>
                  <w:rFonts w:eastAsia="Arial"/>
                  <w:b/>
                  <w:bCs/>
                  <w:i/>
                  <w:iCs/>
                </w:rPr>
                <w:t>NPRR1337, ERS Enhancements</w:t>
              </w:r>
            </w:hyperlink>
          </w:p>
          <w:p w14:paraId="34C3B1AD" w14:textId="5BEA4495" w:rsidR="000D3CCA" w:rsidRDefault="00ED7A6A">
            <w:pPr>
              <w:spacing w:before="0" w:after="0" w:line="240" w:lineRule="auto"/>
              <w:ind w:left="360"/>
              <w:jc w:val="both"/>
            </w:pPr>
            <w:r>
              <w:rPr>
                <w:rFonts w:eastAsia="Arial"/>
                <w:b/>
                <w:bCs/>
              </w:rPr>
              <w:t xml:space="preserve">Sponsor:  </w:t>
            </w:r>
            <w:r>
              <w:rPr>
                <w:rFonts w:eastAsia="Arial"/>
              </w:rPr>
              <w:t>ERCOT</w:t>
            </w:r>
          </w:p>
          <w:p w14:paraId="52840F44" w14:textId="0398FED5" w:rsidR="000D3CCA" w:rsidRDefault="00ED7A6A">
            <w:pPr>
              <w:spacing w:before="0" w:after="0" w:line="240" w:lineRule="auto"/>
              <w:ind w:left="360"/>
              <w:jc w:val="both"/>
            </w:pPr>
            <w:r>
              <w:rPr>
                <w:rFonts w:eastAsia="Arial"/>
                <w:b/>
                <w:bCs/>
              </w:rPr>
              <w:lastRenderedPageBreak/>
              <w:t xml:space="preserve">Revision Description:  </w:t>
            </w:r>
            <w:r>
              <w:rPr>
                <w:rFonts w:eastAsia="Arial"/>
              </w:rPr>
              <w:t>This NPRR implements an ERS Alternate Baseline test (“ABT”) to determine if an Emergency Response Service (ERS) Resource can qualify to have its performance based on the ERS Alternate Baseline and changes the availability performance metric from a QSE Portfolio Factor combining all ERS Time Periods to having an individual QSE Portfolio Factor for each ERS Time Period.</w:t>
            </w:r>
          </w:p>
          <w:p w14:paraId="7102A337" w14:textId="59FF2FA3" w:rsidR="0018175D" w:rsidRDefault="00ED7A6A">
            <w:pPr>
              <w:spacing w:before="0" w:after="0" w:line="240" w:lineRule="auto"/>
              <w:ind w:left="360"/>
              <w:jc w:val="both"/>
              <w:rPr>
                <w:rFonts w:eastAsia="Arial"/>
              </w:rPr>
            </w:pPr>
            <w:hyperlink r:id="rId61" w:history="1">
              <w:r>
                <w:rPr>
                  <w:rStyle w:val="Hyperlink"/>
                  <w:rFonts w:eastAsia="Arial"/>
                  <w:b/>
                  <w:bCs/>
                </w:rPr>
                <w:t>Impact Analysis</w:t>
              </w:r>
            </w:hyperlink>
            <w:r>
              <w:rPr>
                <w:rFonts w:eastAsia="Arial"/>
                <w:b/>
                <w:bCs/>
              </w:rPr>
              <w:t xml:space="preserve">:  </w:t>
            </w:r>
            <w:r>
              <w:rPr>
                <w:rFonts w:eastAsia="Arial"/>
              </w:rPr>
              <w:t>Less than $20</w:t>
            </w:r>
            <w:r w:rsidR="00D53586">
              <w:rPr>
                <w:rFonts w:eastAsia="Arial"/>
              </w:rPr>
              <w:t>K</w:t>
            </w:r>
            <w:r>
              <w:rPr>
                <w:rFonts w:eastAsia="Arial"/>
              </w:rPr>
              <w:t xml:space="preserve"> (O&amp;M)</w:t>
            </w:r>
          </w:p>
          <w:p w14:paraId="2F4A803E" w14:textId="0D3C6D8B"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p>
          <w:p w14:paraId="58268A83" w14:textId="69ABC7C2" w:rsidR="000D3CCA" w:rsidRDefault="00ED7A6A">
            <w:pPr>
              <w:spacing w:before="0" w:after="0" w:line="240" w:lineRule="auto"/>
              <w:ind w:left="360"/>
              <w:jc w:val="both"/>
            </w:pPr>
            <w:hyperlink r:id="rId62" w:history="1">
              <w:r w:rsidRPr="0018175D">
                <w:rPr>
                  <w:rStyle w:val="Hyperlink"/>
                  <w:rFonts w:eastAsia="Arial"/>
                  <w:b/>
                  <w:bCs/>
                </w:rPr>
                <w:t>TAC Report</w:t>
              </w:r>
            </w:hyperlink>
            <w:r>
              <w:rPr>
                <w:rFonts w:eastAsia="Arial"/>
                <w:b/>
                <w:bCs/>
              </w:rPr>
              <w:t xml:space="preserve">/Decision:  </w:t>
            </w:r>
            <w:r w:rsidR="0018175D" w:rsidRPr="0018175D">
              <w:rPr>
                <w:rFonts w:eastAsia="Arial"/>
              </w:rPr>
              <w:t>On 8/26/26, TAC voted unanimously to recommend approval of NPRR1337 as recommended by PRS in the 8/12/26 PRS Report.</w:t>
            </w:r>
          </w:p>
          <w:p w14:paraId="69028E9D"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NPRR1337.</w:t>
            </w:r>
          </w:p>
          <w:p w14:paraId="22260377"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NPRR1337 and believes it increases for the ERCOT System the benefit of the ERS program by enhancing qualification testing and performance evaluation of participating Resources.</w:t>
            </w:r>
          </w:p>
          <w:p w14:paraId="275FAB52"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supports NPRR1337. (See 8/11/26 IMM comments)</w:t>
            </w:r>
          </w:p>
          <w:p w14:paraId="1C3C4062" w14:textId="77777777" w:rsidR="000D3CCA" w:rsidRDefault="00ED7A6A">
            <w:pPr>
              <w:spacing w:before="0" w:after="0" w:line="240" w:lineRule="auto"/>
              <w:ind w:left="360"/>
              <w:jc w:val="both"/>
            </w:pPr>
            <w:hyperlink r:id="rId63" w:anchor="keydocs" w:history="1">
              <w:r>
                <w:rPr>
                  <w:rStyle w:val="Hyperlink"/>
                  <w:rFonts w:eastAsia="Arial"/>
                  <w:b/>
                  <w:bCs/>
                </w:rPr>
                <w:t>Key Documents</w:t>
              </w:r>
            </w:hyperlink>
            <w:r>
              <w:rPr>
                <w:rFonts w:eastAsia="Arial"/>
                <w:b/>
                <w:bCs/>
              </w:rPr>
              <w:t xml:space="preserve"> (including comments, ballots, reports and impact analyses)</w:t>
            </w:r>
          </w:p>
          <w:p w14:paraId="4E7EB00A" w14:textId="77777777" w:rsidR="000D3CCA" w:rsidRDefault="000D3CCA">
            <w:pPr>
              <w:spacing w:before="0" w:after="0" w:line="240" w:lineRule="auto"/>
            </w:pPr>
          </w:p>
          <w:p w14:paraId="6D345190" w14:textId="77777777" w:rsidR="000D3CCA" w:rsidRDefault="00ED7A6A">
            <w:pPr>
              <w:pStyle w:val="ListParagraph"/>
              <w:numPr>
                <w:ilvl w:val="0"/>
                <w:numId w:val="25"/>
              </w:numPr>
              <w:spacing w:before="0" w:after="0" w:line="240" w:lineRule="auto"/>
              <w:ind w:left="360"/>
              <w:contextualSpacing w:val="0"/>
              <w:jc w:val="both"/>
            </w:pPr>
            <w:hyperlink r:id="rId64" w:history="1">
              <w:r>
                <w:rPr>
                  <w:rStyle w:val="Hyperlink"/>
                  <w:rFonts w:eastAsia="Arial"/>
                  <w:b/>
                  <w:bCs/>
                  <w:i/>
                  <w:iCs/>
                </w:rPr>
                <w:t>NPRR1338, Restructure Long-Term Auction Sequence Auctions to Six Monthly Optimizations</w:t>
              </w:r>
            </w:hyperlink>
          </w:p>
          <w:p w14:paraId="0B29EAAA" w14:textId="0EED049D" w:rsidR="000D3CCA" w:rsidRDefault="00ED7A6A">
            <w:pPr>
              <w:spacing w:before="0" w:after="0" w:line="240" w:lineRule="auto"/>
              <w:ind w:left="360"/>
              <w:jc w:val="both"/>
            </w:pPr>
            <w:r>
              <w:rPr>
                <w:rFonts w:eastAsia="Arial"/>
                <w:b/>
                <w:bCs/>
              </w:rPr>
              <w:t xml:space="preserve">Sponsor:  </w:t>
            </w:r>
            <w:r>
              <w:rPr>
                <w:rFonts w:eastAsia="Arial"/>
              </w:rPr>
              <w:t>ERCOT</w:t>
            </w:r>
          </w:p>
          <w:p w14:paraId="621C3E38" w14:textId="629EF5AD" w:rsidR="000D3CCA" w:rsidRDefault="00ED7A6A">
            <w:pPr>
              <w:spacing w:before="0" w:after="0" w:line="240" w:lineRule="auto"/>
              <w:ind w:left="360"/>
              <w:jc w:val="both"/>
            </w:pPr>
            <w:r>
              <w:rPr>
                <w:rFonts w:eastAsia="Arial"/>
                <w:b/>
                <w:bCs/>
              </w:rPr>
              <w:t xml:space="preserve">Revision Description:  </w:t>
            </w:r>
            <w:r>
              <w:rPr>
                <w:rFonts w:eastAsia="Arial"/>
              </w:rPr>
              <w:t>This NPRR restructures the Long-Term Auction Sequence auctions, currently structured as three time-of-use optimizations, to six single-month optimizations.</w:t>
            </w:r>
          </w:p>
          <w:p w14:paraId="5AE2B218" w14:textId="754D0AF8" w:rsidR="0018175D" w:rsidRDefault="00ED7A6A">
            <w:pPr>
              <w:spacing w:before="0" w:after="0" w:line="240" w:lineRule="auto"/>
              <w:ind w:left="360"/>
              <w:jc w:val="both"/>
              <w:rPr>
                <w:rFonts w:eastAsia="Arial"/>
              </w:rPr>
            </w:pPr>
            <w:hyperlink r:id="rId65" w:history="1">
              <w:r>
                <w:rPr>
                  <w:rStyle w:val="Hyperlink"/>
                  <w:rFonts w:eastAsia="Arial"/>
                  <w:b/>
                  <w:bCs/>
                </w:rPr>
                <w:t>Impact Analysis</w:t>
              </w:r>
            </w:hyperlink>
            <w:r>
              <w:rPr>
                <w:rFonts w:eastAsia="Arial"/>
                <w:b/>
                <w:bCs/>
              </w:rPr>
              <w:t xml:space="preserve">:  </w:t>
            </w:r>
            <w:r>
              <w:rPr>
                <w:rFonts w:eastAsia="Arial"/>
              </w:rPr>
              <w:t>$750</w:t>
            </w:r>
            <w:r w:rsidR="0018175D">
              <w:rPr>
                <w:rFonts w:eastAsia="Arial"/>
              </w:rPr>
              <w:t>K</w:t>
            </w:r>
            <w:r>
              <w:rPr>
                <w:rFonts w:eastAsia="Arial"/>
              </w:rPr>
              <w:t xml:space="preserve"> and $1.25M </w:t>
            </w:r>
          </w:p>
          <w:p w14:paraId="708BC89A" w14:textId="2583022C"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18175D">
              <w:rPr>
                <w:rFonts w:eastAsia="Arial"/>
              </w:rPr>
              <w:t xml:space="preserve"> – Priority 2027; Rank 4930</w:t>
            </w:r>
          </w:p>
          <w:p w14:paraId="3D9BA91E" w14:textId="418A5FFB" w:rsidR="000D3CCA" w:rsidRDefault="00ED7A6A">
            <w:pPr>
              <w:spacing w:before="0" w:after="0" w:line="240" w:lineRule="auto"/>
              <w:ind w:left="360"/>
              <w:jc w:val="both"/>
            </w:pPr>
            <w:hyperlink r:id="rId66" w:history="1">
              <w:r w:rsidRPr="0018175D">
                <w:rPr>
                  <w:rStyle w:val="Hyperlink"/>
                  <w:rFonts w:eastAsia="Arial"/>
                  <w:b/>
                  <w:bCs/>
                </w:rPr>
                <w:t>TAC Report</w:t>
              </w:r>
            </w:hyperlink>
            <w:r>
              <w:rPr>
                <w:rFonts w:eastAsia="Arial"/>
                <w:b/>
                <w:bCs/>
              </w:rPr>
              <w:t xml:space="preserve">/Decision:  </w:t>
            </w:r>
            <w:r w:rsidR="0018175D" w:rsidRPr="0018175D">
              <w:rPr>
                <w:rFonts w:eastAsia="Arial"/>
              </w:rPr>
              <w:t>On 8/26/26, TAC voted unanimously to recommend approval of NPRR1338 as recommended by PRS in the 8/12/26 PRS Report.</w:t>
            </w:r>
          </w:p>
          <w:p w14:paraId="17B3B067" w14:textId="77777777" w:rsidR="000D3CCA" w:rsidRDefault="00ED7A6A">
            <w:pPr>
              <w:spacing w:before="0" w:after="0" w:line="240" w:lineRule="auto"/>
              <w:ind w:left="360"/>
              <w:jc w:val="both"/>
            </w:pPr>
            <w:r>
              <w:rPr>
                <w:rFonts w:eastAsia="Arial"/>
                <w:b/>
                <w:bCs/>
              </w:rPr>
              <w:t xml:space="preserve">ERCOT Opinion:  </w:t>
            </w:r>
            <w:r>
              <w:rPr>
                <w:rFonts w:eastAsia="Arial"/>
              </w:rPr>
              <w:t>ERCOT supports the approval of NPRR1338.</w:t>
            </w:r>
          </w:p>
          <w:p w14:paraId="6383245A"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NPRR1338 and believes restructuring the Long-Term Auction Sequence auctions to six single-months optimizations will increase optimization efficiency by defining credit constraints for each month, rather than the current credit constraint that spans all six months of the time-of-use.</w:t>
            </w:r>
          </w:p>
          <w:p w14:paraId="39166EBB"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NPRR1338.</w:t>
            </w:r>
          </w:p>
          <w:p w14:paraId="2CA2D433" w14:textId="77777777" w:rsidR="000D3CCA" w:rsidRDefault="00ED7A6A">
            <w:pPr>
              <w:spacing w:before="0" w:after="0" w:line="240" w:lineRule="auto"/>
              <w:ind w:left="360"/>
              <w:jc w:val="both"/>
            </w:pPr>
            <w:hyperlink r:id="rId67" w:anchor="keydocs" w:history="1">
              <w:r>
                <w:rPr>
                  <w:rStyle w:val="Hyperlink"/>
                  <w:rFonts w:eastAsia="Arial"/>
                  <w:b/>
                  <w:bCs/>
                </w:rPr>
                <w:t>Key Documents</w:t>
              </w:r>
            </w:hyperlink>
            <w:r>
              <w:rPr>
                <w:rFonts w:eastAsia="Arial"/>
                <w:b/>
                <w:bCs/>
              </w:rPr>
              <w:t xml:space="preserve"> (including comments, ballots, reports and impact analyses)</w:t>
            </w:r>
          </w:p>
          <w:p w14:paraId="7DB38150" w14:textId="77777777" w:rsidR="000D3CCA" w:rsidRDefault="000D3CCA">
            <w:pPr>
              <w:spacing w:before="0" w:after="0" w:line="240" w:lineRule="auto"/>
            </w:pPr>
          </w:p>
          <w:p w14:paraId="6A74E3A1" w14:textId="77777777" w:rsidR="000D3CCA" w:rsidRDefault="00ED7A6A">
            <w:pPr>
              <w:pStyle w:val="ListParagraph"/>
              <w:numPr>
                <w:ilvl w:val="0"/>
                <w:numId w:val="25"/>
              </w:numPr>
              <w:spacing w:before="0" w:after="0" w:line="240" w:lineRule="auto"/>
              <w:ind w:left="360"/>
              <w:contextualSpacing w:val="0"/>
              <w:jc w:val="both"/>
            </w:pPr>
            <w:hyperlink r:id="rId68" w:history="1">
              <w:r>
                <w:rPr>
                  <w:rStyle w:val="Hyperlink"/>
                  <w:rFonts w:eastAsia="Arial"/>
                  <w:b/>
                  <w:bCs/>
                  <w:i/>
                  <w:iCs/>
                </w:rPr>
                <w:t>NPRR1339, Protocol Clean Up and Alignment with RTC+B Implementation</w:t>
              </w:r>
            </w:hyperlink>
          </w:p>
          <w:p w14:paraId="214D8436" w14:textId="48F049C2" w:rsidR="000D3CCA" w:rsidRDefault="00ED7A6A">
            <w:pPr>
              <w:spacing w:before="0" w:after="0" w:line="240" w:lineRule="auto"/>
              <w:ind w:left="360"/>
              <w:jc w:val="both"/>
            </w:pPr>
            <w:r>
              <w:rPr>
                <w:rFonts w:eastAsia="Arial"/>
                <w:b/>
                <w:bCs/>
              </w:rPr>
              <w:t xml:space="preserve">Sponsor:  </w:t>
            </w:r>
            <w:r>
              <w:rPr>
                <w:rFonts w:eastAsia="Arial"/>
              </w:rPr>
              <w:t>ERCOT</w:t>
            </w:r>
          </w:p>
          <w:p w14:paraId="35D5D499" w14:textId="6149CAA0" w:rsidR="000D3CCA" w:rsidRDefault="00ED7A6A">
            <w:pPr>
              <w:spacing w:before="0" w:after="0" w:line="240" w:lineRule="auto"/>
              <w:ind w:left="360"/>
              <w:jc w:val="both"/>
            </w:pPr>
            <w:r>
              <w:rPr>
                <w:rFonts w:eastAsia="Arial"/>
                <w:b/>
                <w:bCs/>
              </w:rPr>
              <w:t xml:space="preserve">Revision Description:  </w:t>
            </w:r>
            <w:r w:rsidR="00644829" w:rsidRPr="00644829">
              <w:rPr>
                <w:rFonts w:eastAsia="Arial"/>
              </w:rPr>
              <w:t>This NPRR corrects misalignment of Protocol language with the Real-Time Co-optimization plus Batteries (RTC+B) implementatio</w:t>
            </w:r>
            <w:r w:rsidR="00644829">
              <w:rPr>
                <w:rFonts w:eastAsia="Arial"/>
              </w:rPr>
              <w:t>n</w:t>
            </w:r>
            <w:r>
              <w:rPr>
                <w:rFonts w:eastAsia="Arial"/>
              </w:rPr>
              <w:t xml:space="preserve">, </w:t>
            </w:r>
            <w:r w:rsidR="00644829">
              <w:rPr>
                <w:rFonts w:eastAsia="Arial"/>
              </w:rPr>
              <w:t>including correcting the duration requirement of ERCOT Contingency Reserve Service (ECRS), r</w:t>
            </w:r>
            <w:r w:rsidR="00644829" w:rsidRPr="00644829">
              <w:rPr>
                <w:rFonts w:eastAsia="Arial"/>
              </w:rPr>
              <w:t>emov</w:t>
            </w:r>
            <w:r w:rsidR="00644829">
              <w:rPr>
                <w:rFonts w:eastAsia="Arial"/>
              </w:rPr>
              <w:t>ing</w:t>
            </w:r>
            <w:r w:rsidR="00644829" w:rsidRPr="00644829">
              <w:rPr>
                <w:rFonts w:eastAsia="Arial"/>
              </w:rPr>
              <w:t xml:space="preserve"> Fast-Responding Regulation Service (FRRS) referenc</w:t>
            </w:r>
            <w:r w:rsidR="00644829">
              <w:rPr>
                <w:rFonts w:eastAsia="Arial"/>
              </w:rPr>
              <w:t>es, r</w:t>
            </w:r>
            <w:r w:rsidR="00644829" w:rsidRPr="00644829">
              <w:rPr>
                <w:rFonts w:eastAsia="Arial"/>
              </w:rPr>
              <w:t>emov</w:t>
            </w:r>
            <w:r w:rsidR="00644829">
              <w:rPr>
                <w:rFonts w:eastAsia="Arial"/>
              </w:rPr>
              <w:t>ing</w:t>
            </w:r>
            <w:r w:rsidR="00644829" w:rsidRPr="00644829">
              <w:rPr>
                <w:rFonts w:eastAsia="Arial"/>
              </w:rPr>
              <w:t xml:space="preserve"> the requirement for ESRs to telemeter the next Operating Hour Ancillary </w:t>
            </w:r>
            <w:r w:rsidR="00644829" w:rsidRPr="00644829">
              <w:rPr>
                <w:rFonts w:eastAsia="Arial"/>
              </w:rPr>
              <w:lastRenderedPageBreak/>
              <w:t>Service Responsibilitie</w:t>
            </w:r>
            <w:r w:rsidR="00644829">
              <w:rPr>
                <w:rFonts w:eastAsia="Arial"/>
              </w:rPr>
              <w:t>s,</w:t>
            </w:r>
            <w:r w:rsidR="00644829">
              <w:t xml:space="preserve"> </w:t>
            </w:r>
            <w:r w:rsidR="00644829">
              <w:rPr>
                <w:rFonts w:eastAsia="Arial"/>
              </w:rPr>
              <w:t>r</w:t>
            </w:r>
            <w:r w:rsidR="00644829" w:rsidRPr="00644829">
              <w:rPr>
                <w:rFonts w:eastAsia="Arial"/>
              </w:rPr>
              <w:t>eplac</w:t>
            </w:r>
            <w:r w:rsidR="00644829">
              <w:rPr>
                <w:rFonts w:eastAsia="Arial"/>
              </w:rPr>
              <w:t>ing</w:t>
            </w:r>
            <w:r w:rsidR="00644829" w:rsidRPr="00644829">
              <w:rPr>
                <w:rFonts w:eastAsia="Arial"/>
              </w:rPr>
              <w:t xml:space="preserve"> the Ancillary Service Responsibilities with Ancillary Service awards wherever applicabl</w:t>
            </w:r>
            <w:r w:rsidR="00644829">
              <w:rPr>
                <w:rFonts w:eastAsia="Arial"/>
              </w:rPr>
              <w:t xml:space="preserve">e, and </w:t>
            </w:r>
            <w:r w:rsidR="00644829" w:rsidRPr="00644829">
              <w:rPr>
                <w:rFonts w:eastAsia="Arial"/>
              </w:rPr>
              <w:t>remov</w:t>
            </w:r>
            <w:r w:rsidR="00644829">
              <w:rPr>
                <w:rFonts w:eastAsia="Arial"/>
              </w:rPr>
              <w:t>ing</w:t>
            </w:r>
            <w:r w:rsidR="00644829" w:rsidRPr="00644829">
              <w:rPr>
                <w:rFonts w:eastAsia="Arial"/>
              </w:rPr>
              <w:t xml:space="preserve"> the Real-Time Reserve Price for On-Line Reserves (RTRSVPOR) from the equation used to calculate Financial Attested Losses Allowed per QSE per Generation Resource</w:t>
            </w:r>
            <w:r w:rsidR="00644829">
              <w:rPr>
                <w:rFonts w:eastAsia="Arial"/>
              </w:rPr>
              <w:t>.</w:t>
            </w:r>
          </w:p>
          <w:p w14:paraId="19919EDD" w14:textId="2DCC4519" w:rsidR="0018175D" w:rsidRDefault="00ED7A6A">
            <w:pPr>
              <w:spacing w:before="0" w:after="0" w:line="240" w:lineRule="auto"/>
              <w:ind w:left="360"/>
              <w:jc w:val="both"/>
              <w:rPr>
                <w:rFonts w:eastAsia="Arial"/>
              </w:rPr>
            </w:pPr>
            <w:hyperlink r:id="rId69" w:history="1">
              <w:r>
                <w:rPr>
                  <w:rStyle w:val="Hyperlink"/>
                  <w:rFonts w:eastAsia="Arial"/>
                  <w:b/>
                  <w:bCs/>
                </w:rPr>
                <w:t>Impact Analysis</w:t>
              </w:r>
            </w:hyperlink>
            <w:r>
              <w:rPr>
                <w:rFonts w:eastAsia="Arial"/>
                <w:b/>
                <w:bCs/>
              </w:rPr>
              <w:t xml:space="preserve">:  </w:t>
            </w:r>
            <w:r w:rsidR="0018175D">
              <w:rPr>
                <w:rFonts w:eastAsia="Arial"/>
              </w:rPr>
              <w:t>No impact</w:t>
            </w:r>
          </w:p>
          <w:p w14:paraId="6749C846" w14:textId="26B747D0" w:rsidR="000D3CCA" w:rsidRDefault="00ED7A6A">
            <w:pPr>
              <w:spacing w:before="0" w:after="0" w:line="240" w:lineRule="auto"/>
              <w:ind w:left="360"/>
              <w:jc w:val="both"/>
            </w:pPr>
            <w:r>
              <w:rPr>
                <w:rFonts w:eastAsia="Arial"/>
                <w:b/>
                <w:bCs/>
              </w:rPr>
              <w:t xml:space="preserve">Proposed Effective Date:  </w:t>
            </w:r>
            <w:r>
              <w:rPr>
                <w:rFonts w:eastAsia="Arial"/>
              </w:rPr>
              <w:t xml:space="preserve">The first of the month following </w:t>
            </w:r>
            <w:r w:rsidR="007A310A">
              <w:rPr>
                <w:rFonts w:eastAsia="Arial"/>
              </w:rPr>
              <w:t xml:space="preserve">PUCT </w:t>
            </w:r>
            <w:r>
              <w:rPr>
                <w:rFonts w:eastAsia="Arial"/>
              </w:rPr>
              <w:t>approval</w:t>
            </w:r>
          </w:p>
          <w:p w14:paraId="14950557" w14:textId="4F664F82" w:rsidR="000D3CCA" w:rsidRDefault="00ED7A6A">
            <w:pPr>
              <w:spacing w:before="0" w:after="0" w:line="240" w:lineRule="auto"/>
              <w:ind w:left="360"/>
              <w:jc w:val="both"/>
            </w:pPr>
            <w:hyperlink r:id="rId70" w:history="1">
              <w:r w:rsidRPr="00644829">
                <w:rPr>
                  <w:rStyle w:val="Hyperlink"/>
                  <w:rFonts w:eastAsia="Arial"/>
                  <w:b/>
                  <w:bCs/>
                </w:rPr>
                <w:t>TAC Report</w:t>
              </w:r>
            </w:hyperlink>
            <w:r>
              <w:rPr>
                <w:rFonts w:eastAsia="Arial"/>
                <w:b/>
                <w:bCs/>
              </w:rPr>
              <w:t xml:space="preserve">/Decision:  </w:t>
            </w:r>
            <w:r w:rsidR="0018175D" w:rsidRPr="0018175D">
              <w:rPr>
                <w:rFonts w:eastAsia="Arial"/>
              </w:rPr>
              <w:t>On 8/26/26, TAC voted unanimously to recommend approval of NPRR1339 as recommended by PRS in the 8/12/26 PRS Report as amended by the 8/14/26 ERCOT comments.</w:t>
            </w:r>
          </w:p>
          <w:p w14:paraId="33FAA144" w14:textId="77777777" w:rsidR="000D3CCA" w:rsidRDefault="00ED7A6A">
            <w:pPr>
              <w:spacing w:before="0" w:after="0" w:line="240" w:lineRule="auto"/>
              <w:ind w:left="360"/>
              <w:jc w:val="both"/>
            </w:pPr>
            <w:r>
              <w:rPr>
                <w:rFonts w:eastAsia="Arial"/>
                <w:b/>
                <w:bCs/>
              </w:rPr>
              <w:t xml:space="preserve">ERCOT Opinion:  </w:t>
            </w:r>
            <w:r>
              <w:rPr>
                <w:rFonts w:eastAsia="Arial"/>
              </w:rPr>
              <w:t>ERCOT supports the approval of NPRR1339.</w:t>
            </w:r>
          </w:p>
          <w:p w14:paraId="31096C32" w14:textId="77777777" w:rsidR="000D3CCA" w:rsidRDefault="00ED7A6A">
            <w:pPr>
              <w:spacing w:before="0" w:after="0" w:line="240" w:lineRule="auto"/>
              <w:ind w:left="360"/>
              <w:jc w:val="both"/>
            </w:pPr>
            <w:r>
              <w:rPr>
                <w:rFonts w:eastAsia="Arial"/>
                <w:b/>
                <w:bCs/>
              </w:rPr>
              <w:t xml:space="preserve">ERCOT Market Impact Statement:  </w:t>
            </w:r>
            <w:r>
              <w:rPr>
                <w:rFonts w:eastAsia="Arial"/>
              </w:rPr>
              <w:t xml:space="preserve">ERCOT Staff </w:t>
            </w:r>
            <w:proofErr w:type="gramStart"/>
            <w:r>
              <w:rPr>
                <w:rFonts w:eastAsia="Arial"/>
              </w:rPr>
              <w:t>has</w:t>
            </w:r>
            <w:proofErr w:type="gramEnd"/>
            <w:r>
              <w:rPr>
                <w:rFonts w:eastAsia="Arial"/>
              </w:rPr>
              <w:t xml:space="preserve"> reviewed NPRR1339 and </w:t>
            </w:r>
            <w:proofErr w:type="gramStart"/>
            <w:r>
              <w:rPr>
                <w:rFonts w:eastAsia="Arial"/>
              </w:rPr>
              <w:t>believes</w:t>
            </w:r>
            <w:proofErr w:type="gramEnd"/>
            <w:r>
              <w:rPr>
                <w:rFonts w:eastAsia="Arial"/>
              </w:rPr>
              <w:t xml:space="preserve"> this revision will have a positive impact on the market. By updating and clarifying these sections, we ensure consistency with operational practices and eliminate outdated references that could otherwise lead to confusion.</w:t>
            </w:r>
          </w:p>
          <w:p w14:paraId="5188805F"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NPRR1339.</w:t>
            </w:r>
          </w:p>
          <w:p w14:paraId="7CB19DEA" w14:textId="77777777" w:rsidR="000D3CCA" w:rsidRDefault="00ED7A6A">
            <w:pPr>
              <w:spacing w:before="0" w:after="0" w:line="240" w:lineRule="auto"/>
              <w:ind w:left="360"/>
              <w:jc w:val="both"/>
            </w:pPr>
            <w:hyperlink r:id="rId71" w:anchor="keydocs" w:history="1">
              <w:r>
                <w:rPr>
                  <w:rStyle w:val="Hyperlink"/>
                  <w:rFonts w:eastAsia="Arial"/>
                  <w:b/>
                  <w:bCs/>
                </w:rPr>
                <w:t>Key Documents</w:t>
              </w:r>
            </w:hyperlink>
            <w:r>
              <w:rPr>
                <w:rFonts w:eastAsia="Arial"/>
                <w:b/>
                <w:bCs/>
              </w:rPr>
              <w:t xml:space="preserve"> (including comments, ballots, reports and impact analyses)</w:t>
            </w:r>
          </w:p>
          <w:p w14:paraId="45041F4E" w14:textId="77777777" w:rsidR="000D3CCA" w:rsidRDefault="000D3CCA">
            <w:pPr>
              <w:spacing w:before="0" w:after="0" w:line="240" w:lineRule="auto"/>
            </w:pPr>
          </w:p>
          <w:p w14:paraId="4A31D292" w14:textId="77777777" w:rsidR="000D3CCA" w:rsidRDefault="00ED7A6A">
            <w:pPr>
              <w:pStyle w:val="ListParagraph"/>
              <w:numPr>
                <w:ilvl w:val="0"/>
                <w:numId w:val="25"/>
              </w:numPr>
              <w:spacing w:before="0" w:after="0" w:line="240" w:lineRule="auto"/>
              <w:ind w:left="360"/>
              <w:contextualSpacing w:val="0"/>
              <w:jc w:val="both"/>
            </w:pPr>
            <w:hyperlink r:id="rId72" w:history="1">
              <w:r>
                <w:rPr>
                  <w:rStyle w:val="Hyperlink"/>
                  <w:rFonts w:eastAsia="Arial"/>
                  <w:b/>
                  <w:bCs/>
                  <w:i/>
                  <w:iCs/>
                </w:rPr>
                <w:t>NPRR1341, Related to LPGRR077, Profile Decision Tree Excel-to-Word Conversion</w:t>
              </w:r>
            </w:hyperlink>
          </w:p>
          <w:p w14:paraId="7467FFB5" w14:textId="230513C2" w:rsidR="000D3CCA" w:rsidRDefault="00ED7A6A">
            <w:pPr>
              <w:spacing w:before="0" w:after="0" w:line="240" w:lineRule="auto"/>
              <w:ind w:left="360"/>
              <w:jc w:val="both"/>
            </w:pPr>
            <w:r>
              <w:rPr>
                <w:rFonts w:eastAsia="Arial"/>
                <w:b/>
                <w:bCs/>
              </w:rPr>
              <w:t xml:space="preserve">Sponsor:  </w:t>
            </w:r>
            <w:r>
              <w:rPr>
                <w:rFonts w:eastAsia="Arial"/>
              </w:rPr>
              <w:t>ERCOT</w:t>
            </w:r>
          </w:p>
          <w:p w14:paraId="54C9A655" w14:textId="2DD6F75F" w:rsidR="000D3CCA" w:rsidRDefault="00ED7A6A">
            <w:pPr>
              <w:spacing w:before="0" w:after="0" w:line="240" w:lineRule="auto"/>
              <w:ind w:left="360"/>
              <w:jc w:val="both"/>
            </w:pPr>
            <w:r>
              <w:rPr>
                <w:rFonts w:eastAsia="Arial"/>
                <w:b/>
                <w:bCs/>
              </w:rPr>
              <w:t xml:space="preserve">Revision Description:  </w:t>
            </w:r>
            <w:r>
              <w:rPr>
                <w:rFonts w:eastAsia="Arial"/>
              </w:rPr>
              <w:t>This NPRR relocates select terms from Load Profiling Guide Section 19.1, Definitions, to Protocol Section 2.1, Definitions, removes the term ‘Time of Use Schedule (TOUS)’, and updates section references related to the Profile Decision Tree.</w:t>
            </w:r>
          </w:p>
          <w:p w14:paraId="0AA61792" w14:textId="65FCC474" w:rsidR="00F578A9" w:rsidRDefault="00ED7A6A" w:rsidP="00F578A9">
            <w:pPr>
              <w:spacing w:before="0" w:after="0" w:line="240" w:lineRule="auto"/>
              <w:ind w:left="360"/>
              <w:jc w:val="both"/>
              <w:rPr>
                <w:rFonts w:eastAsia="Arial"/>
              </w:rPr>
            </w:pPr>
            <w:hyperlink r:id="rId73" w:history="1">
              <w:r>
                <w:rPr>
                  <w:rStyle w:val="Hyperlink"/>
                  <w:rFonts w:eastAsia="Arial"/>
                  <w:b/>
                  <w:bCs/>
                </w:rPr>
                <w:t>Impact Analysis</w:t>
              </w:r>
            </w:hyperlink>
            <w:r>
              <w:rPr>
                <w:rFonts w:eastAsia="Arial"/>
                <w:b/>
                <w:bCs/>
              </w:rPr>
              <w:t xml:space="preserve">:  </w:t>
            </w:r>
            <w:r w:rsidR="00F578A9">
              <w:rPr>
                <w:rFonts w:eastAsia="Arial"/>
              </w:rPr>
              <w:t>No impact (</w:t>
            </w:r>
            <w:r w:rsidR="00F578A9" w:rsidRPr="00F578A9">
              <w:rPr>
                <w:rFonts w:eastAsia="Arial"/>
              </w:rPr>
              <w:t>There are no additional impacts to this NPRR beyond what was captured in the Impact Analysis</w:t>
            </w:r>
            <w:r w:rsidR="00F578A9">
              <w:rPr>
                <w:rFonts w:eastAsia="Arial"/>
              </w:rPr>
              <w:t xml:space="preserve"> </w:t>
            </w:r>
            <w:r w:rsidR="00F578A9" w:rsidRPr="00F578A9">
              <w:rPr>
                <w:rFonts w:eastAsia="Arial"/>
              </w:rPr>
              <w:t>for LPGRR077</w:t>
            </w:r>
            <w:r w:rsidR="007A310A">
              <w:rPr>
                <w:rFonts w:eastAsia="Arial"/>
              </w:rPr>
              <w:t>, Profile Decision Tree Excel-to-Word Conversion</w:t>
            </w:r>
            <w:r w:rsidR="00F578A9" w:rsidRPr="00F578A9">
              <w:rPr>
                <w:rFonts w:eastAsia="Arial"/>
              </w:rPr>
              <w:t>.</w:t>
            </w:r>
            <w:r w:rsidR="00F578A9">
              <w:rPr>
                <w:rFonts w:eastAsia="Arial"/>
              </w:rPr>
              <w:t>)</w:t>
            </w:r>
          </w:p>
          <w:p w14:paraId="56FEF427" w14:textId="6CAAD5CC" w:rsidR="000D3CCA" w:rsidRDefault="00ED7A6A">
            <w:pPr>
              <w:spacing w:before="0" w:after="0" w:line="240" w:lineRule="auto"/>
              <w:ind w:left="360"/>
              <w:jc w:val="both"/>
            </w:pPr>
            <w:r>
              <w:rPr>
                <w:rFonts w:eastAsia="Arial"/>
                <w:b/>
                <w:bCs/>
              </w:rPr>
              <w:t xml:space="preserve">Proposed Effective Date:  </w:t>
            </w:r>
            <w:r>
              <w:rPr>
                <w:rFonts w:eastAsia="Arial"/>
              </w:rPr>
              <w:t xml:space="preserve">Upon implementation of </w:t>
            </w:r>
            <w:r w:rsidR="007A310A">
              <w:rPr>
                <w:rFonts w:eastAsia="Arial"/>
              </w:rPr>
              <w:t>LPGRR077</w:t>
            </w:r>
            <w:r>
              <w:rPr>
                <w:rFonts w:eastAsia="Arial"/>
              </w:rPr>
              <w:t xml:space="preserve"> </w:t>
            </w:r>
          </w:p>
          <w:p w14:paraId="0DE95DE1" w14:textId="0D3707CD" w:rsidR="000D3CCA" w:rsidRPr="00F578A9" w:rsidRDefault="00ED7A6A">
            <w:pPr>
              <w:spacing w:before="0" w:after="0" w:line="240" w:lineRule="auto"/>
              <w:ind w:left="360"/>
              <w:jc w:val="both"/>
            </w:pPr>
            <w:hyperlink r:id="rId74" w:history="1">
              <w:r w:rsidRPr="00F578A9">
                <w:rPr>
                  <w:rStyle w:val="Hyperlink"/>
                  <w:rFonts w:eastAsia="Arial"/>
                  <w:b/>
                  <w:bCs/>
                </w:rPr>
                <w:t>TAC Report</w:t>
              </w:r>
            </w:hyperlink>
            <w:r>
              <w:rPr>
                <w:rFonts w:eastAsia="Arial"/>
                <w:b/>
                <w:bCs/>
              </w:rPr>
              <w:t xml:space="preserve">/Decision:  </w:t>
            </w:r>
            <w:r w:rsidR="00F578A9" w:rsidRPr="00F578A9">
              <w:rPr>
                <w:rFonts w:eastAsia="Arial"/>
              </w:rPr>
              <w:t>On 8/26/26, TAC voted unanimously to recommend approval of NPRR1341 as recommended by PRS in the 8/12/26 PRS Report.</w:t>
            </w:r>
          </w:p>
          <w:p w14:paraId="4CC32ED2"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NPRR1341.</w:t>
            </w:r>
          </w:p>
          <w:p w14:paraId="76E7FCF6"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NPRR1341 and believes that it provides a positive market impact through process improvement by aligning the Protocols with edits proposed in LPGRR077.</w:t>
            </w:r>
          </w:p>
          <w:p w14:paraId="3CE05EEE" w14:textId="2A0BB610" w:rsidR="000D3CCA" w:rsidRDefault="00ED7A6A">
            <w:pPr>
              <w:spacing w:before="0" w:after="0" w:line="240" w:lineRule="auto"/>
              <w:ind w:left="360"/>
              <w:jc w:val="both"/>
            </w:pPr>
            <w:r>
              <w:rPr>
                <w:rFonts w:eastAsia="Arial"/>
                <w:b/>
                <w:bCs/>
              </w:rPr>
              <w:t xml:space="preserve">Independent Market Monitor (IMM) Opinion:  </w:t>
            </w:r>
            <w:r w:rsidR="00F578A9" w:rsidRPr="00F578A9">
              <w:rPr>
                <w:rFonts w:eastAsia="Arial"/>
              </w:rPr>
              <w:t>IMM has no opinion on NPRR1341.</w:t>
            </w:r>
          </w:p>
          <w:p w14:paraId="06A6AA27" w14:textId="77777777" w:rsidR="000D3CCA" w:rsidRDefault="00ED7A6A">
            <w:pPr>
              <w:spacing w:before="0" w:after="0" w:line="240" w:lineRule="auto"/>
              <w:ind w:left="360"/>
              <w:jc w:val="both"/>
            </w:pPr>
            <w:hyperlink r:id="rId75" w:anchor="keydocs" w:history="1">
              <w:r>
                <w:rPr>
                  <w:rStyle w:val="Hyperlink"/>
                  <w:rFonts w:eastAsia="Arial"/>
                  <w:b/>
                  <w:bCs/>
                </w:rPr>
                <w:t>Key Documents</w:t>
              </w:r>
            </w:hyperlink>
            <w:r>
              <w:rPr>
                <w:rFonts w:eastAsia="Arial"/>
                <w:b/>
                <w:bCs/>
              </w:rPr>
              <w:t xml:space="preserve"> (including comments, ballots, reports and impact analyses)</w:t>
            </w:r>
          </w:p>
          <w:p w14:paraId="42DA5DE7" w14:textId="77777777" w:rsidR="000D3CCA" w:rsidRDefault="000D3CCA">
            <w:pPr>
              <w:spacing w:before="0" w:after="0" w:line="240" w:lineRule="auto"/>
            </w:pPr>
          </w:p>
          <w:p w14:paraId="4E51488D" w14:textId="1FC8A471" w:rsidR="000D3CCA" w:rsidRDefault="00ED7A6A">
            <w:pPr>
              <w:pStyle w:val="ListParagraph"/>
              <w:numPr>
                <w:ilvl w:val="0"/>
                <w:numId w:val="25"/>
              </w:numPr>
              <w:spacing w:before="0" w:after="0" w:line="240" w:lineRule="auto"/>
              <w:ind w:left="360"/>
              <w:contextualSpacing w:val="0"/>
              <w:jc w:val="both"/>
            </w:pPr>
            <w:hyperlink r:id="rId76" w:history="1">
              <w:r w:rsidRPr="00592077">
                <w:rPr>
                  <w:rStyle w:val="Hyperlink"/>
                  <w:rFonts w:eastAsia="Arial"/>
                  <w:b/>
                  <w:bCs/>
                  <w:i/>
                  <w:iCs/>
                </w:rPr>
                <w:t>NPRR1342, Mitigated Offer Caps for Contract for Capacity Resource</w:t>
              </w:r>
              <w:r w:rsidR="00592077">
                <w:rPr>
                  <w:rStyle w:val="Hyperlink"/>
                  <w:rFonts w:eastAsia="Arial"/>
                  <w:b/>
                  <w:bCs/>
                  <w:i/>
                  <w:iCs/>
                </w:rPr>
                <w:t xml:space="preserve">s </w:t>
              </w:r>
              <w:r w:rsidR="00592077" w:rsidRPr="00592077">
                <w:rPr>
                  <w:rStyle w:val="Hyperlink"/>
                  <w:rFonts w:eastAsia="Arial"/>
                  <w:b/>
                  <w:bCs/>
                  <w:i/>
                  <w:iCs/>
                </w:rPr>
                <w:t>– URGENT</w:t>
              </w:r>
            </w:hyperlink>
          </w:p>
          <w:p w14:paraId="1F5916B3" w14:textId="54EDAF15" w:rsidR="000D3CCA" w:rsidRDefault="00ED7A6A">
            <w:pPr>
              <w:spacing w:before="0" w:after="0" w:line="240" w:lineRule="auto"/>
              <w:ind w:left="360"/>
              <w:jc w:val="both"/>
            </w:pPr>
            <w:r>
              <w:rPr>
                <w:rFonts w:eastAsia="Arial"/>
                <w:b/>
                <w:bCs/>
              </w:rPr>
              <w:t xml:space="preserve">Sponsor:  </w:t>
            </w:r>
            <w:r w:rsidR="00F578A9">
              <w:rPr>
                <w:rFonts w:eastAsia="Arial"/>
              </w:rPr>
              <w:t>ERCOT</w:t>
            </w:r>
          </w:p>
          <w:p w14:paraId="37C8A3D3" w14:textId="46D22920" w:rsidR="000D3CCA" w:rsidRDefault="00ED7A6A">
            <w:pPr>
              <w:spacing w:before="0" w:after="0" w:line="240" w:lineRule="auto"/>
              <w:ind w:left="360"/>
              <w:jc w:val="both"/>
            </w:pPr>
            <w:r>
              <w:rPr>
                <w:rFonts w:eastAsia="Arial"/>
                <w:b/>
                <w:bCs/>
              </w:rPr>
              <w:t xml:space="preserve">Revision Description:  </w:t>
            </w:r>
            <w:r w:rsidR="00F578A9" w:rsidRPr="00F578A9">
              <w:rPr>
                <w:rFonts w:eastAsia="Arial"/>
              </w:rPr>
              <w:t>This</w:t>
            </w:r>
            <w:r w:rsidR="007A310A">
              <w:rPr>
                <w:rFonts w:eastAsia="Arial"/>
              </w:rPr>
              <w:t xml:space="preserve"> NPRR</w:t>
            </w:r>
            <w:r w:rsidR="00F578A9" w:rsidRPr="00F578A9">
              <w:rPr>
                <w:rFonts w:eastAsia="Arial"/>
              </w:rPr>
              <w:t xml:space="preserve"> creates a new process for determining the Mitigated Offer Cap (MOC) for Contract for Capacity (C4C) Resources procured through Section 6.5.1.1, ERCOT Control Area Authority. This NPRR proposes using market design principles to allow the C4C Resource to be Dispatched but still be </w:t>
            </w:r>
            <w:r w:rsidR="00F578A9" w:rsidRPr="00F578A9">
              <w:rPr>
                <w:rFonts w:eastAsia="Arial"/>
              </w:rPr>
              <w:lastRenderedPageBreak/>
              <w:t>above other Resources that solve the same constraint.</w:t>
            </w:r>
            <w:r w:rsidR="00F578A9">
              <w:rPr>
                <w:rFonts w:eastAsia="Arial"/>
              </w:rPr>
              <w:t xml:space="preserve">  </w:t>
            </w:r>
            <w:r w:rsidR="00F578A9" w:rsidRPr="00F578A9">
              <w:rPr>
                <w:rFonts w:eastAsia="Arial"/>
              </w:rPr>
              <w:t>This NPRR uses the “last-in-line” principle from NPRR826, Mitigated Offer Caps for RMR Resources, to set the MOC for C4C Resources and minimize their effect on market competition. This NPRR sets clear requirements for using this method. If those requirements aren't fulfilled, mitigation of the C4C Resource is determined by cost</w:t>
            </w:r>
            <w:r>
              <w:rPr>
                <w:rFonts w:eastAsia="Arial"/>
              </w:rPr>
              <w:t>.</w:t>
            </w:r>
          </w:p>
          <w:p w14:paraId="102A22A4" w14:textId="17279441" w:rsidR="00F578A9" w:rsidRDefault="00ED7A6A">
            <w:pPr>
              <w:spacing w:before="0" w:after="0" w:line="240" w:lineRule="auto"/>
              <w:ind w:left="360"/>
              <w:jc w:val="both"/>
              <w:rPr>
                <w:rFonts w:eastAsia="Arial"/>
              </w:rPr>
            </w:pPr>
            <w:hyperlink r:id="rId77" w:history="1">
              <w:r>
                <w:rPr>
                  <w:rStyle w:val="Hyperlink"/>
                  <w:rFonts w:eastAsia="Arial"/>
                  <w:b/>
                  <w:bCs/>
                </w:rPr>
                <w:t>Impact Analysis</w:t>
              </w:r>
            </w:hyperlink>
            <w:r>
              <w:rPr>
                <w:rFonts w:eastAsia="Arial"/>
                <w:b/>
                <w:bCs/>
              </w:rPr>
              <w:t xml:space="preserve">:  </w:t>
            </w:r>
            <w:r>
              <w:rPr>
                <w:rFonts w:eastAsia="Arial"/>
              </w:rPr>
              <w:t>Between $250</w:t>
            </w:r>
            <w:r w:rsidR="00F578A9">
              <w:rPr>
                <w:rFonts w:eastAsia="Arial"/>
              </w:rPr>
              <w:t>K</w:t>
            </w:r>
            <w:r>
              <w:rPr>
                <w:rFonts w:eastAsia="Arial"/>
              </w:rPr>
              <w:t xml:space="preserve"> and $350</w:t>
            </w:r>
            <w:r w:rsidR="00F578A9">
              <w:rPr>
                <w:rFonts w:eastAsia="Arial"/>
              </w:rPr>
              <w:t>K</w:t>
            </w:r>
          </w:p>
          <w:p w14:paraId="2741A47B" w14:textId="5B7D318B"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r w:rsidR="00F578A9">
              <w:rPr>
                <w:rFonts w:eastAsia="Arial"/>
              </w:rPr>
              <w:t xml:space="preserve"> – Priority 2026; Rank 2970</w:t>
            </w:r>
          </w:p>
          <w:p w14:paraId="1C4FB975" w14:textId="0FA39BDC" w:rsidR="000D3CCA" w:rsidRDefault="00ED7A6A">
            <w:pPr>
              <w:spacing w:before="0" w:after="0" w:line="240" w:lineRule="auto"/>
              <w:ind w:left="360"/>
              <w:jc w:val="both"/>
            </w:pPr>
            <w:hyperlink r:id="rId78" w:history="1">
              <w:r w:rsidRPr="00F578A9">
                <w:rPr>
                  <w:rStyle w:val="Hyperlink"/>
                  <w:rFonts w:eastAsia="Arial"/>
                  <w:b/>
                  <w:bCs/>
                </w:rPr>
                <w:t>TAC Report</w:t>
              </w:r>
            </w:hyperlink>
            <w:r>
              <w:rPr>
                <w:rFonts w:eastAsia="Arial"/>
                <w:b/>
                <w:bCs/>
              </w:rPr>
              <w:t xml:space="preserve">/Decision:  </w:t>
            </w:r>
            <w:r w:rsidR="00F578A9" w:rsidRPr="00F578A9">
              <w:rPr>
                <w:rFonts w:eastAsia="Arial"/>
              </w:rPr>
              <w:t>On 8/26/26, TAC voted unanimously to recommend approval of NPRR1342 as recommended by PRS in the 8/12/26 PRS Report.</w:t>
            </w:r>
          </w:p>
          <w:p w14:paraId="13980B42"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NPRR1342.</w:t>
            </w:r>
          </w:p>
          <w:p w14:paraId="4AF49B53"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NPRR1342 and believes that it provides a positive market impact and general process improvement by creating a new process for determining the MOC for C4C Resources procured through Section 6.5.1.1.</w:t>
            </w:r>
          </w:p>
          <w:p w14:paraId="24F78969" w14:textId="386586F4" w:rsidR="000D3CCA" w:rsidRDefault="00ED7A6A">
            <w:pPr>
              <w:spacing w:before="0" w:after="0" w:line="240" w:lineRule="auto"/>
              <w:ind w:left="360"/>
              <w:jc w:val="both"/>
            </w:pPr>
            <w:r>
              <w:rPr>
                <w:rFonts w:eastAsia="Arial"/>
                <w:b/>
                <w:bCs/>
              </w:rPr>
              <w:t xml:space="preserve">Independent Market Monitor (IMM) Opinion:  </w:t>
            </w:r>
            <w:r w:rsidR="00F578A9" w:rsidRPr="007A310A">
              <w:rPr>
                <w:rFonts w:eastAsia="Arial"/>
              </w:rPr>
              <w:t>I</w:t>
            </w:r>
            <w:r w:rsidR="00F578A9" w:rsidRPr="00F578A9">
              <w:rPr>
                <w:rFonts w:eastAsia="Arial"/>
              </w:rPr>
              <w:t>MM supports NPRR1342.</w:t>
            </w:r>
          </w:p>
          <w:p w14:paraId="475F34D8" w14:textId="77777777" w:rsidR="000D3CCA" w:rsidRDefault="00ED7A6A">
            <w:pPr>
              <w:spacing w:before="0" w:after="0" w:line="240" w:lineRule="auto"/>
              <w:ind w:left="360"/>
              <w:jc w:val="both"/>
            </w:pPr>
            <w:hyperlink r:id="rId79" w:anchor="keydocs" w:history="1">
              <w:r>
                <w:rPr>
                  <w:rStyle w:val="Hyperlink"/>
                  <w:rFonts w:eastAsia="Arial"/>
                  <w:b/>
                  <w:bCs/>
                </w:rPr>
                <w:t>Key Documents</w:t>
              </w:r>
            </w:hyperlink>
            <w:r>
              <w:rPr>
                <w:rFonts w:eastAsia="Arial"/>
                <w:b/>
                <w:bCs/>
              </w:rPr>
              <w:t xml:space="preserve"> (including comments, ballots, reports and impact analyses)</w:t>
            </w:r>
          </w:p>
          <w:p w14:paraId="2A7B290C" w14:textId="77777777" w:rsidR="000D3CCA" w:rsidRDefault="000D3CCA">
            <w:pPr>
              <w:spacing w:before="0" w:after="0" w:line="240" w:lineRule="auto"/>
            </w:pPr>
          </w:p>
          <w:p w14:paraId="51E27E63" w14:textId="733954D1" w:rsidR="000D3CCA" w:rsidRDefault="00ED7A6A">
            <w:pPr>
              <w:pStyle w:val="ListParagraph"/>
              <w:numPr>
                <w:ilvl w:val="0"/>
                <w:numId w:val="25"/>
              </w:numPr>
              <w:spacing w:before="0" w:after="0" w:line="240" w:lineRule="auto"/>
              <w:ind w:left="360"/>
              <w:contextualSpacing w:val="0"/>
              <w:jc w:val="both"/>
            </w:pPr>
            <w:hyperlink r:id="rId80" w:history="1">
              <w:r w:rsidRPr="00F04CB4">
                <w:rPr>
                  <w:rStyle w:val="Hyperlink"/>
                  <w:rFonts w:eastAsia="Arial"/>
                  <w:b/>
                  <w:bCs/>
                  <w:i/>
                  <w:iCs/>
                </w:rPr>
                <w:t>NPRR1344, Move OBD to Section 19 – Texas Market Test Pla</w:t>
              </w:r>
              <w:r w:rsidR="00F04CB4">
                <w:rPr>
                  <w:rStyle w:val="Hyperlink"/>
                  <w:rFonts w:eastAsia="Arial"/>
                  <w:b/>
                  <w:bCs/>
                  <w:i/>
                  <w:iCs/>
                </w:rPr>
                <w:t xml:space="preserve">n </w:t>
              </w:r>
              <w:r w:rsidR="00F04CB4" w:rsidRPr="00F04CB4">
                <w:rPr>
                  <w:rStyle w:val="Hyperlink"/>
                  <w:rFonts w:eastAsia="Arial"/>
                  <w:b/>
                  <w:bCs/>
                  <w:i/>
                  <w:iCs/>
                </w:rPr>
                <w:t>– URGENT</w:t>
              </w:r>
            </w:hyperlink>
          </w:p>
          <w:p w14:paraId="79176B50" w14:textId="646F4E43" w:rsidR="000D3CCA" w:rsidRDefault="00ED7A6A">
            <w:pPr>
              <w:spacing w:before="0" w:after="0" w:line="240" w:lineRule="auto"/>
              <w:ind w:left="360"/>
              <w:jc w:val="both"/>
            </w:pPr>
            <w:r>
              <w:rPr>
                <w:rFonts w:eastAsia="Arial"/>
                <w:b/>
                <w:bCs/>
              </w:rPr>
              <w:t xml:space="preserve">Sponsor:  </w:t>
            </w:r>
            <w:r>
              <w:rPr>
                <w:rFonts w:eastAsia="Arial"/>
              </w:rPr>
              <w:t>ERCOT</w:t>
            </w:r>
          </w:p>
          <w:p w14:paraId="127CC39E" w14:textId="1F04C2F1" w:rsidR="000D3CCA" w:rsidRDefault="00ED7A6A">
            <w:pPr>
              <w:spacing w:before="0" w:after="0" w:line="240" w:lineRule="auto"/>
              <w:ind w:left="360"/>
              <w:jc w:val="both"/>
            </w:pPr>
            <w:r>
              <w:rPr>
                <w:rFonts w:eastAsia="Arial"/>
                <w:b/>
                <w:bCs/>
              </w:rPr>
              <w:t xml:space="preserve">Revision Description:  </w:t>
            </w:r>
            <w:r>
              <w:rPr>
                <w:rFonts w:eastAsia="Arial"/>
              </w:rPr>
              <w:t>This NPRR incorporates the Other Binding Document “Texas Market Test Plan</w:t>
            </w:r>
            <w:r w:rsidR="007A310A">
              <w:rPr>
                <w:rFonts w:eastAsia="Arial"/>
              </w:rPr>
              <w:t xml:space="preserve"> (TMTP)</w:t>
            </w:r>
            <w:r>
              <w:rPr>
                <w:rFonts w:eastAsia="Arial"/>
              </w:rPr>
              <w:t>” into the Protocols to standardize the approval process.</w:t>
            </w:r>
          </w:p>
          <w:p w14:paraId="1200A096" w14:textId="54A01BA6" w:rsidR="00F578A9" w:rsidRDefault="00ED7A6A">
            <w:pPr>
              <w:spacing w:before="0" w:after="0" w:line="240" w:lineRule="auto"/>
              <w:ind w:left="360"/>
              <w:jc w:val="both"/>
              <w:rPr>
                <w:rFonts w:eastAsia="Arial"/>
              </w:rPr>
            </w:pPr>
            <w:hyperlink r:id="rId81" w:history="1">
              <w:r>
                <w:rPr>
                  <w:rStyle w:val="Hyperlink"/>
                  <w:rFonts w:eastAsia="Arial"/>
                  <w:b/>
                  <w:bCs/>
                </w:rPr>
                <w:t>Impact Analysis</w:t>
              </w:r>
            </w:hyperlink>
            <w:r>
              <w:rPr>
                <w:rFonts w:eastAsia="Arial"/>
                <w:b/>
                <w:bCs/>
              </w:rPr>
              <w:t xml:space="preserve">:  </w:t>
            </w:r>
            <w:r w:rsidR="00F578A9">
              <w:rPr>
                <w:rFonts w:eastAsia="Arial"/>
              </w:rPr>
              <w:t>No impact</w:t>
            </w:r>
          </w:p>
          <w:p w14:paraId="57693912" w14:textId="0B03863F" w:rsidR="000D3CCA" w:rsidRDefault="00ED7A6A">
            <w:pPr>
              <w:spacing w:before="0" w:after="0" w:line="240" w:lineRule="auto"/>
              <w:ind w:left="360"/>
              <w:jc w:val="both"/>
            </w:pPr>
            <w:r>
              <w:rPr>
                <w:rFonts w:eastAsia="Arial"/>
                <w:b/>
                <w:bCs/>
              </w:rPr>
              <w:t xml:space="preserve">Proposed Effective Date:  </w:t>
            </w:r>
            <w:r w:rsidR="009E6AA7">
              <w:rPr>
                <w:rFonts w:eastAsia="Arial"/>
              </w:rPr>
              <w:t>The f</w:t>
            </w:r>
            <w:r>
              <w:rPr>
                <w:rFonts w:eastAsia="Arial"/>
              </w:rPr>
              <w:t xml:space="preserve">irst of the month following </w:t>
            </w:r>
            <w:r w:rsidR="007A310A">
              <w:rPr>
                <w:rFonts w:eastAsia="Arial"/>
              </w:rPr>
              <w:t xml:space="preserve">PUCT </w:t>
            </w:r>
            <w:r>
              <w:rPr>
                <w:rFonts w:eastAsia="Arial"/>
              </w:rPr>
              <w:t>approval</w:t>
            </w:r>
          </w:p>
          <w:p w14:paraId="7ABF5BF9" w14:textId="41C0832D" w:rsidR="000D3CCA" w:rsidRDefault="00ED7A6A">
            <w:pPr>
              <w:spacing w:before="0" w:after="0" w:line="240" w:lineRule="auto"/>
              <w:ind w:left="360"/>
              <w:jc w:val="both"/>
            </w:pPr>
            <w:hyperlink r:id="rId82" w:history="1">
              <w:r w:rsidRPr="00F578A9">
                <w:rPr>
                  <w:rStyle w:val="Hyperlink"/>
                  <w:rFonts w:eastAsia="Arial"/>
                  <w:b/>
                  <w:bCs/>
                </w:rPr>
                <w:t>TAC Report</w:t>
              </w:r>
            </w:hyperlink>
            <w:r>
              <w:rPr>
                <w:rFonts w:eastAsia="Arial"/>
                <w:b/>
                <w:bCs/>
              </w:rPr>
              <w:t>/Decision:</w:t>
            </w:r>
            <w:r w:rsidR="00F578A9">
              <w:rPr>
                <w:rFonts w:eastAsia="Arial"/>
                <w:b/>
                <w:bCs/>
              </w:rPr>
              <w:t xml:space="preserve"> </w:t>
            </w:r>
            <w:r>
              <w:rPr>
                <w:rFonts w:eastAsia="Arial"/>
                <w:b/>
                <w:bCs/>
              </w:rPr>
              <w:t xml:space="preserve"> </w:t>
            </w:r>
            <w:r w:rsidR="00F578A9" w:rsidRPr="00F578A9">
              <w:rPr>
                <w:rFonts w:eastAsia="Arial"/>
              </w:rPr>
              <w:t>On 8/26/26, TAC voted unanimously to recommend approval of NPRR1344 as recommended by PRS in the 8/12/26 PRS Report.</w:t>
            </w:r>
          </w:p>
          <w:p w14:paraId="0147564C"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NPRR1344.</w:t>
            </w:r>
          </w:p>
          <w:p w14:paraId="28C66259" w14:textId="119898EE"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NPRR1344 and believes it has a positive market impact by updating and clarifying the existing processes set forth in the</w:t>
            </w:r>
            <w:r w:rsidR="007A310A">
              <w:rPr>
                <w:rFonts w:eastAsia="Arial"/>
              </w:rPr>
              <w:t xml:space="preserve"> TMTP</w:t>
            </w:r>
            <w:r>
              <w:rPr>
                <w:rFonts w:eastAsia="Arial"/>
              </w:rPr>
              <w:t>, and incorporating the TMTP into the Protocols.</w:t>
            </w:r>
          </w:p>
          <w:p w14:paraId="5DB7C7C6"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NPRR1344.</w:t>
            </w:r>
          </w:p>
          <w:p w14:paraId="6E77DB4B" w14:textId="77777777" w:rsidR="000D3CCA" w:rsidRDefault="00ED7A6A">
            <w:pPr>
              <w:spacing w:before="0" w:after="0" w:line="240" w:lineRule="auto"/>
              <w:ind w:left="360"/>
              <w:jc w:val="both"/>
              <w:rPr>
                <w:rFonts w:eastAsia="Arial"/>
                <w:b/>
                <w:bCs/>
              </w:rPr>
            </w:pPr>
            <w:hyperlink r:id="rId83" w:anchor="keydocs" w:history="1">
              <w:r>
                <w:rPr>
                  <w:rStyle w:val="Hyperlink"/>
                  <w:rFonts w:eastAsia="Arial"/>
                  <w:b/>
                  <w:bCs/>
                </w:rPr>
                <w:t>Key Documents</w:t>
              </w:r>
            </w:hyperlink>
            <w:r>
              <w:rPr>
                <w:rFonts w:eastAsia="Arial"/>
                <w:b/>
                <w:bCs/>
              </w:rPr>
              <w:t xml:space="preserve"> (including comments, ballots, reports and impact analyses)</w:t>
            </w:r>
          </w:p>
          <w:p w14:paraId="7CE373FF" w14:textId="77777777" w:rsidR="000105AF" w:rsidRDefault="000105AF">
            <w:pPr>
              <w:spacing w:before="0" w:after="0" w:line="240" w:lineRule="auto"/>
              <w:ind w:left="360"/>
              <w:jc w:val="both"/>
              <w:rPr>
                <w:rFonts w:eastAsia="Arial"/>
                <w:b/>
                <w:bCs/>
              </w:rPr>
            </w:pPr>
          </w:p>
          <w:p w14:paraId="3A988FE2" w14:textId="77777777" w:rsidR="000105AF" w:rsidRDefault="000105AF" w:rsidP="000105AF">
            <w:pPr>
              <w:pStyle w:val="ListParagraph"/>
              <w:numPr>
                <w:ilvl w:val="0"/>
                <w:numId w:val="25"/>
              </w:numPr>
              <w:spacing w:before="0" w:after="0" w:line="240" w:lineRule="auto"/>
              <w:ind w:left="360"/>
              <w:contextualSpacing w:val="0"/>
              <w:jc w:val="both"/>
            </w:pPr>
            <w:hyperlink r:id="rId84" w:history="1">
              <w:r>
                <w:rPr>
                  <w:rStyle w:val="Hyperlink"/>
                  <w:rFonts w:eastAsia="Arial"/>
                  <w:b/>
                  <w:bCs/>
                  <w:i/>
                  <w:iCs/>
                </w:rPr>
                <w:t>COPMGRR051, Related to NPRR1264, Creation of a New Energy Attribute Certificate Program</w:t>
              </w:r>
            </w:hyperlink>
          </w:p>
          <w:p w14:paraId="09D4A998" w14:textId="77777777" w:rsidR="000105AF" w:rsidRDefault="000105AF" w:rsidP="000105AF">
            <w:pPr>
              <w:spacing w:before="0" w:after="0" w:line="240" w:lineRule="auto"/>
              <w:ind w:left="360"/>
              <w:jc w:val="both"/>
            </w:pPr>
            <w:r>
              <w:rPr>
                <w:rFonts w:eastAsia="Arial"/>
                <w:b/>
                <w:bCs/>
              </w:rPr>
              <w:t xml:space="preserve">Sponsor:  </w:t>
            </w:r>
            <w:r>
              <w:rPr>
                <w:rFonts w:eastAsia="Arial"/>
              </w:rPr>
              <w:t>TEBA, Goff Policy</w:t>
            </w:r>
          </w:p>
          <w:p w14:paraId="3E7AF38D" w14:textId="77777777" w:rsidR="000105AF" w:rsidRDefault="000105AF" w:rsidP="000105AF">
            <w:pPr>
              <w:spacing w:before="0" w:after="0" w:line="240" w:lineRule="auto"/>
              <w:ind w:left="360"/>
              <w:jc w:val="both"/>
            </w:pPr>
            <w:r>
              <w:rPr>
                <w:rFonts w:eastAsia="Arial"/>
                <w:b/>
                <w:bCs/>
              </w:rPr>
              <w:t xml:space="preserve">Revision Description:  </w:t>
            </w:r>
            <w:r>
              <w:rPr>
                <w:rFonts w:eastAsia="Arial"/>
              </w:rPr>
              <w:t>This COPMGRR modifies what an Entity may be affected by in order to qualify to submit RMGRRs, in alignment with Protocol changes made by NPRR1264.</w:t>
            </w:r>
          </w:p>
          <w:p w14:paraId="0DDE3F11" w14:textId="77777777" w:rsidR="000105AF" w:rsidRDefault="000105AF" w:rsidP="000105AF">
            <w:pPr>
              <w:spacing w:before="0" w:after="0" w:line="240" w:lineRule="auto"/>
              <w:ind w:left="360"/>
              <w:jc w:val="both"/>
              <w:rPr>
                <w:rFonts w:eastAsia="Arial"/>
              </w:rPr>
            </w:pPr>
            <w:hyperlink r:id="rId85" w:history="1">
              <w:r>
                <w:rPr>
                  <w:rStyle w:val="Hyperlink"/>
                  <w:rFonts w:eastAsia="Arial"/>
                  <w:b/>
                  <w:bCs/>
                </w:rPr>
                <w:t>Impact Analysis</w:t>
              </w:r>
            </w:hyperlink>
            <w:r>
              <w:rPr>
                <w:rFonts w:eastAsia="Arial"/>
                <w:b/>
                <w:bCs/>
              </w:rPr>
              <w:t xml:space="preserve">:  </w:t>
            </w:r>
            <w:r>
              <w:rPr>
                <w:rFonts w:eastAsia="Arial"/>
              </w:rPr>
              <w:t>No impact (</w:t>
            </w:r>
            <w:r w:rsidRPr="008E0A26">
              <w:rPr>
                <w:rFonts w:eastAsia="Arial"/>
              </w:rPr>
              <w:t xml:space="preserve">There are no additional impacts to this </w:t>
            </w:r>
            <w:r>
              <w:rPr>
                <w:rFonts w:eastAsia="Arial"/>
              </w:rPr>
              <w:t>COPM</w:t>
            </w:r>
            <w:r w:rsidRPr="008E0A26">
              <w:rPr>
                <w:rFonts w:eastAsia="Arial"/>
              </w:rPr>
              <w:t>GRR beyond what was captured in the Impact</w:t>
            </w:r>
            <w:r>
              <w:rPr>
                <w:rFonts w:eastAsia="Arial"/>
              </w:rPr>
              <w:t xml:space="preserve"> </w:t>
            </w:r>
            <w:r w:rsidRPr="008E0A26">
              <w:rPr>
                <w:rFonts w:eastAsia="Arial"/>
              </w:rPr>
              <w:t>Analysis for NPRR1264.</w:t>
            </w:r>
            <w:r>
              <w:rPr>
                <w:rFonts w:eastAsia="Arial"/>
              </w:rPr>
              <w:t>)</w:t>
            </w:r>
          </w:p>
          <w:p w14:paraId="222636A9" w14:textId="77777777" w:rsidR="000105AF" w:rsidRDefault="000105AF" w:rsidP="000105AF">
            <w:pPr>
              <w:spacing w:before="0" w:after="0" w:line="240" w:lineRule="auto"/>
              <w:ind w:left="360"/>
              <w:jc w:val="both"/>
            </w:pPr>
            <w:r>
              <w:rPr>
                <w:rFonts w:eastAsia="Arial"/>
                <w:b/>
                <w:bCs/>
              </w:rPr>
              <w:t xml:space="preserve">Proposed Effective Date:  </w:t>
            </w:r>
            <w:r>
              <w:rPr>
                <w:rFonts w:eastAsia="Arial"/>
              </w:rPr>
              <w:t>Upon implementation of NPRR1264</w:t>
            </w:r>
          </w:p>
          <w:p w14:paraId="2F0BAFD0" w14:textId="77777777" w:rsidR="000105AF" w:rsidRDefault="000105AF" w:rsidP="000105AF">
            <w:pPr>
              <w:spacing w:before="0" w:after="0" w:line="240" w:lineRule="auto"/>
              <w:ind w:left="360"/>
              <w:jc w:val="both"/>
            </w:pPr>
            <w:hyperlink r:id="rId86" w:history="1">
              <w:r>
                <w:rPr>
                  <w:rStyle w:val="Hyperlink"/>
                  <w:rFonts w:eastAsia="Arial"/>
                  <w:b/>
                  <w:bCs/>
                </w:rPr>
                <w:t>TAC Report</w:t>
              </w:r>
            </w:hyperlink>
            <w:r>
              <w:rPr>
                <w:rFonts w:eastAsia="Arial"/>
                <w:b/>
                <w:bCs/>
              </w:rPr>
              <w:t xml:space="preserve">/Decision:  </w:t>
            </w:r>
            <w:r>
              <w:rPr>
                <w:rFonts w:eastAsia="Arial"/>
              </w:rPr>
              <w:t>On 7/29/26, TAC voted unanimously to recommend approval of COPMGRR051 as recommended by WMS in the 6/3/26 WMS Report.</w:t>
            </w:r>
          </w:p>
          <w:p w14:paraId="6E647DCD" w14:textId="77777777" w:rsidR="000105AF" w:rsidRDefault="000105AF" w:rsidP="000105AF">
            <w:pPr>
              <w:spacing w:before="0" w:after="0" w:line="240" w:lineRule="auto"/>
              <w:ind w:left="360"/>
              <w:jc w:val="both"/>
            </w:pPr>
            <w:r>
              <w:rPr>
                <w:rFonts w:eastAsia="Arial"/>
                <w:b/>
                <w:bCs/>
              </w:rPr>
              <w:lastRenderedPageBreak/>
              <w:t xml:space="preserve">ERCOT Opinion:  </w:t>
            </w:r>
            <w:r>
              <w:rPr>
                <w:rFonts w:eastAsia="Arial"/>
              </w:rPr>
              <w:t>ERCOT supports approval of COPMGRR051.</w:t>
            </w:r>
          </w:p>
          <w:p w14:paraId="203B0701" w14:textId="77777777" w:rsidR="000105AF" w:rsidRDefault="000105AF" w:rsidP="000105AF">
            <w:pPr>
              <w:spacing w:before="0" w:after="0" w:line="240" w:lineRule="auto"/>
              <w:ind w:left="360"/>
              <w:jc w:val="both"/>
            </w:pPr>
            <w:r>
              <w:rPr>
                <w:rFonts w:eastAsia="Arial"/>
                <w:b/>
                <w:bCs/>
              </w:rPr>
              <w:t xml:space="preserve">ERCOT Market Impact Statement:  </w:t>
            </w:r>
            <w:r>
              <w:rPr>
                <w:rFonts w:eastAsia="Arial"/>
              </w:rPr>
              <w:t>ERCOT Staff has reviewed COPMGRR051 and believes that it provides a positive market impact by enhancing the ERCOT region’s economic competitiveness through the modification of what an Entity may be affected by in order to qualify to submit COPMGRR, in alignment with Protocol changes made by NPRR1264.</w:t>
            </w:r>
          </w:p>
          <w:p w14:paraId="138869A3" w14:textId="77777777" w:rsidR="000105AF" w:rsidRDefault="000105AF" w:rsidP="000105AF">
            <w:pPr>
              <w:spacing w:before="0" w:after="0" w:line="240" w:lineRule="auto"/>
              <w:ind w:left="360"/>
              <w:jc w:val="both"/>
            </w:pPr>
            <w:r>
              <w:rPr>
                <w:rFonts w:eastAsia="Arial"/>
                <w:b/>
                <w:bCs/>
              </w:rPr>
              <w:t xml:space="preserve">Independent Market Monitor (IMM) Opinion:  </w:t>
            </w:r>
            <w:r>
              <w:rPr>
                <w:rFonts w:eastAsia="Arial"/>
              </w:rPr>
              <w:t>IMM has no opinion on COPMGRR051.</w:t>
            </w:r>
          </w:p>
          <w:p w14:paraId="5D705C7A" w14:textId="5F61EDAF" w:rsidR="000105AF" w:rsidRPr="000105AF" w:rsidRDefault="000105AF" w:rsidP="000105AF">
            <w:pPr>
              <w:spacing w:before="0" w:after="0" w:line="240" w:lineRule="auto"/>
              <w:ind w:left="360"/>
              <w:jc w:val="both"/>
            </w:pPr>
            <w:hyperlink r:id="rId87" w:anchor="keydocs" w:history="1">
              <w:r>
                <w:rPr>
                  <w:rStyle w:val="Hyperlink"/>
                  <w:rFonts w:eastAsia="Arial"/>
                  <w:b/>
                  <w:bCs/>
                </w:rPr>
                <w:t>Key Documents</w:t>
              </w:r>
            </w:hyperlink>
            <w:r>
              <w:rPr>
                <w:rFonts w:eastAsia="Arial"/>
                <w:b/>
                <w:bCs/>
              </w:rPr>
              <w:t xml:space="preserve"> (including comments, ballots, reports and impact analyses)</w:t>
            </w:r>
          </w:p>
          <w:p w14:paraId="19209D6B" w14:textId="77777777" w:rsidR="008E114B" w:rsidRDefault="008E114B">
            <w:pPr>
              <w:spacing w:before="0" w:after="0" w:line="240" w:lineRule="auto"/>
              <w:ind w:left="360"/>
              <w:jc w:val="both"/>
              <w:rPr>
                <w:rFonts w:eastAsia="Arial"/>
                <w:b/>
                <w:bCs/>
              </w:rPr>
            </w:pPr>
          </w:p>
          <w:p w14:paraId="2FDA83D3" w14:textId="77777777" w:rsidR="008E114B" w:rsidRDefault="008E114B" w:rsidP="008E114B">
            <w:pPr>
              <w:pStyle w:val="ListParagraph"/>
              <w:numPr>
                <w:ilvl w:val="0"/>
                <w:numId w:val="25"/>
              </w:numPr>
              <w:spacing w:before="0" w:after="0" w:line="240" w:lineRule="auto"/>
              <w:ind w:left="360"/>
              <w:contextualSpacing w:val="0"/>
              <w:jc w:val="both"/>
            </w:pPr>
            <w:hyperlink r:id="rId88" w:history="1">
              <w:r>
                <w:rPr>
                  <w:rStyle w:val="Hyperlink"/>
                  <w:rFonts w:eastAsia="Arial"/>
                  <w:b/>
                  <w:bCs/>
                  <w:i/>
                  <w:iCs/>
                </w:rPr>
                <w:t>LPGRR076, Related to NPRR1264, Creation of a New Energy Attribute Certificate Program</w:t>
              </w:r>
            </w:hyperlink>
          </w:p>
          <w:p w14:paraId="6D000C91" w14:textId="77777777" w:rsidR="008E114B" w:rsidRDefault="008E114B" w:rsidP="008E114B">
            <w:pPr>
              <w:spacing w:before="0" w:after="0" w:line="240" w:lineRule="auto"/>
              <w:ind w:left="360"/>
              <w:jc w:val="both"/>
            </w:pPr>
            <w:r>
              <w:rPr>
                <w:rFonts w:eastAsia="Arial"/>
                <w:b/>
                <w:bCs/>
              </w:rPr>
              <w:t xml:space="preserve">Sponsor:  </w:t>
            </w:r>
            <w:r>
              <w:rPr>
                <w:rFonts w:eastAsia="Arial"/>
              </w:rPr>
              <w:t>TEBA, Goff Policy</w:t>
            </w:r>
          </w:p>
          <w:p w14:paraId="35EF0B7D" w14:textId="09673792" w:rsidR="008E114B" w:rsidRDefault="008E114B" w:rsidP="008E114B">
            <w:pPr>
              <w:spacing w:before="0" w:after="0" w:line="240" w:lineRule="auto"/>
              <w:ind w:left="360"/>
              <w:jc w:val="both"/>
            </w:pPr>
            <w:r>
              <w:rPr>
                <w:rFonts w:eastAsia="Arial"/>
                <w:b/>
                <w:bCs/>
              </w:rPr>
              <w:t xml:space="preserve">Revision Description:  </w:t>
            </w:r>
            <w:r>
              <w:rPr>
                <w:rFonts w:eastAsia="Arial"/>
              </w:rPr>
              <w:t>This LPGRR modifies what an Entity may be affected by in order to qualify to submit LPGRRs, in alignment with current Protocol language and Protocol changes made by NPRR1264.</w:t>
            </w:r>
          </w:p>
          <w:p w14:paraId="2E989B25" w14:textId="77777777" w:rsidR="008E114B" w:rsidRDefault="008E114B" w:rsidP="008E114B">
            <w:pPr>
              <w:spacing w:before="0" w:after="0" w:line="240" w:lineRule="auto"/>
              <w:ind w:left="360"/>
              <w:jc w:val="both"/>
              <w:rPr>
                <w:rFonts w:eastAsia="Arial"/>
              </w:rPr>
            </w:pPr>
            <w:hyperlink r:id="rId89" w:history="1">
              <w:r>
                <w:rPr>
                  <w:rStyle w:val="Hyperlink"/>
                  <w:rFonts w:eastAsia="Arial"/>
                  <w:b/>
                  <w:bCs/>
                </w:rPr>
                <w:t>Impact Analysis</w:t>
              </w:r>
            </w:hyperlink>
            <w:r>
              <w:rPr>
                <w:rFonts w:eastAsia="Arial"/>
                <w:b/>
                <w:bCs/>
              </w:rPr>
              <w:t xml:space="preserve">:  </w:t>
            </w:r>
            <w:r>
              <w:rPr>
                <w:rFonts w:eastAsia="Arial"/>
              </w:rPr>
              <w:t>No impact (</w:t>
            </w:r>
            <w:r w:rsidRPr="008E0A26">
              <w:rPr>
                <w:rFonts w:eastAsia="Arial"/>
              </w:rPr>
              <w:t xml:space="preserve">There are no additional impacts to this </w:t>
            </w:r>
            <w:r>
              <w:rPr>
                <w:rFonts w:eastAsia="Arial"/>
              </w:rPr>
              <w:t>LPGRR</w:t>
            </w:r>
            <w:r w:rsidRPr="008E0A26">
              <w:rPr>
                <w:rFonts w:eastAsia="Arial"/>
              </w:rPr>
              <w:t xml:space="preserve"> beyond what was captured in the Impact</w:t>
            </w:r>
            <w:r>
              <w:rPr>
                <w:rFonts w:eastAsia="Arial"/>
              </w:rPr>
              <w:t xml:space="preserve"> </w:t>
            </w:r>
            <w:r w:rsidRPr="008E0A26">
              <w:rPr>
                <w:rFonts w:eastAsia="Arial"/>
              </w:rPr>
              <w:t>Analysis for NPRR1264.</w:t>
            </w:r>
            <w:r>
              <w:rPr>
                <w:rFonts w:eastAsia="Arial"/>
              </w:rPr>
              <w:t>)</w:t>
            </w:r>
          </w:p>
          <w:p w14:paraId="2F84A106" w14:textId="3F641C50" w:rsidR="008E114B" w:rsidRDefault="008E114B" w:rsidP="008E114B">
            <w:pPr>
              <w:spacing w:before="0" w:after="0" w:line="240" w:lineRule="auto"/>
              <w:ind w:left="360"/>
              <w:jc w:val="both"/>
            </w:pPr>
            <w:r>
              <w:rPr>
                <w:rFonts w:eastAsia="Arial"/>
                <w:b/>
                <w:bCs/>
              </w:rPr>
              <w:t xml:space="preserve">Proposed Effective Date:  </w:t>
            </w:r>
            <w:r>
              <w:rPr>
                <w:rFonts w:eastAsia="Arial"/>
              </w:rPr>
              <w:t xml:space="preserve">Upon implementation of </w:t>
            </w:r>
            <w:r w:rsidR="007A310A">
              <w:rPr>
                <w:rFonts w:eastAsia="Arial"/>
              </w:rPr>
              <w:t>NPRR</w:t>
            </w:r>
            <w:r>
              <w:rPr>
                <w:rFonts w:eastAsia="Arial"/>
              </w:rPr>
              <w:t>1264, Creation of a New Energy Attribute Certificate Program.</w:t>
            </w:r>
          </w:p>
          <w:p w14:paraId="0E224111" w14:textId="2DD35616" w:rsidR="008E114B" w:rsidRDefault="008E114B" w:rsidP="008E114B">
            <w:pPr>
              <w:spacing w:before="0" w:after="0" w:line="240" w:lineRule="auto"/>
              <w:ind w:left="360"/>
              <w:jc w:val="both"/>
            </w:pPr>
            <w:hyperlink r:id="rId90"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LPGRR076 as recommended by RMS in the 7/10/26 RMS Report. </w:t>
            </w:r>
          </w:p>
          <w:p w14:paraId="5326F381" w14:textId="77777777" w:rsidR="008E114B" w:rsidRDefault="008E114B" w:rsidP="008E114B">
            <w:pPr>
              <w:spacing w:before="0" w:after="0" w:line="240" w:lineRule="auto"/>
              <w:ind w:left="360"/>
              <w:jc w:val="both"/>
            </w:pPr>
            <w:r>
              <w:rPr>
                <w:rFonts w:eastAsia="Arial"/>
                <w:b/>
                <w:bCs/>
              </w:rPr>
              <w:t xml:space="preserve">ERCOT Opinion:  </w:t>
            </w:r>
            <w:r>
              <w:rPr>
                <w:rFonts w:eastAsia="Arial"/>
              </w:rPr>
              <w:t>ERCOT supports approval of LPGRR076.</w:t>
            </w:r>
          </w:p>
          <w:p w14:paraId="18587CE6" w14:textId="77777777" w:rsidR="008E114B" w:rsidRDefault="008E114B" w:rsidP="008E114B">
            <w:pPr>
              <w:spacing w:before="0" w:after="0" w:line="240" w:lineRule="auto"/>
              <w:ind w:left="360"/>
              <w:jc w:val="both"/>
            </w:pPr>
            <w:r>
              <w:rPr>
                <w:rFonts w:eastAsia="Arial"/>
                <w:b/>
                <w:bCs/>
              </w:rPr>
              <w:t xml:space="preserve">ERCOT Market Impact Statement:  </w:t>
            </w:r>
            <w:r>
              <w:rPr>
                <w:rFonts w:eastAsia="Arial"/>
              </w:rPr>
              <w:t>ERCOT Staff has reviewed LPGRR076 and believes that it provides a positive market impact by enhancing the ERCOT region’s economic competitiveness through the modification of what an Entity may be affected by in order to qualify to submit LPGRRs, in alignment with Protocol changes made by NPRR1264.</w:t>
            </w:r>
          </w:p>
          <w:p w14:paraId="15BC3FA6" w14:textId="77777777" w:rsidR="008E114B" w:rsidRDefault="008E114B" w:rsidP="008E114B">
            <w:pPr>
              <w:spacing w:before="0" w:after="0" w:line="240" w:lineRule="auto"/>
              <w:ind w:left="360"/>
              <w:jc w:val="both"/>
            </w:pPr>
            <w:r>
              <w:rPr>
                <w:rFonts w:eastAsia="Arial"/>
                <w:b/>
                <w:bCs/>
              </w:rPr>
              <w:t xml:space="preserve">Independent Market Monitor (IMM) Opinion:  </w:t>
            </w:r>
            <w:r>
              <w:rPr>
                <w:rFonts w:eastAsia="Arial"/>
              </w:rPr>
              <w:t>IMM has no opinion on LPGRR076.</w:t>
            </w:r>
          </w:p>
          <w:p w14:paraId="71E290B4" w14:textId="77777777" w:rsidR="008E114B" w:rsidRDefault="008E114B" w:rsidP="008E114B">
            <w:pPr>
              <w:spacing w:before="0" w:after="0" w:line="240" w:lineRule="auto"/>
              <w:ind w:left="360"/>
              <w:jc w:val="both"/>
            </w:pPr>
            <w:hyperlink r:id="rId91" w:anchor="keydocs" w:history="1">
              <w:r>
                <w:rPr>
                  <w:rStyle w:val="Hyperlink"/>
                  <w:rFonts w:eastAsia="Arial"/>
                  <w:b/>
                  <w:bCs/>
                </w:rPr>
                <w:t>Key Documents</w:t>
              </w:r>
            </w:hyperlink>
            <w:r>
              <w:rPr>
                <w:rFonts w:eastAsia="Arial"/>
                <w:b/>
                <w:bCs/>
              </w:rPr>
              <w:t xml:space="preserve"> (including comments, ballots, reports and impact analyses)</w:t>
            </w:r>
          </w:p>
          <w:p w14:paraId="1BD63B95" w14:textId="77777777" w:rsidR="008E114B" w:rsidRDefault="008E114B" w:rsidP="008E114B">
            <w:pPr>
              <w:spacing w:before="0" w:after="0" w:line="240" w:lineRule="auto"/>
            </w:pPr>
          </w:p>
          <w:p w14:paraId="04B89614" w14:textId="77777777" w:rsidR="008E114B" w:rsidRDefault="008E114B" w:rsidP="008E114B">
            <w:pPr>
              <w:pStyle w:val="ListParagraph"/>
              <w:numPr>
                <w:ilvl w:val="0"/>
                <w:numId w:val="25"/>
              </w:numPr>
              <w:spacing w:before="0" w:after="0" w:line="240" w:lineRule="auto"/>
              <w:ind w:left="360"/>
              <w:contextualSpacing w:val="0"/>
              <w:jc w:val="both"/>
            </w:pPr>
            <w:hyperlink r:id="rId92" w:history="1">
              <w:r>
                <w:rPr>
                  <w:rStyle w:val="Hyperlink"/>
                  <w:rFonts w:eastAsia="Arial"/>
                  <w:b/>
                  <w:bCs/>
                  <w:i/>
                  <w:iCs/>
                </w:rPr>
                <w:t>LPGRR077, Profile Decision Tree Excel-to-Word Conversion</w:t>
              </w:r>
            </w:hyperlink>
          </w:p>
          <w:p w14:paraId="386233AA" w14:textId="77777777" w:rsidR="008E114B" w:rsidRDefault="008E114B" w:rsidP="008E114B">
            <w:pPr>
              <w:spacing w:before="0" w:after="0" w:line="240" w:lineRule="auto"/>
              <w:ind w:left="360"/>
              <w:jc w:val="both"/>
            </w:pPr>
            <w:r>
              <w:rPr>
                <w:rFonts w:eastAsia="Arial"/>
                <w:b/>
                <w:bCs/>
              </w:rPr>
              <w:t xml:space="preserve">Sponsor:  </w:t>
            </w:r>
            <w:r>
              <w:rPr>
                <w:rFonts w:eastAsia="Arial"/>
              </w:rPr>
              <w:t>ERCOT</w:t>
            </w:r>
          </w:p>
          <w:p w14:paraId="2A64D5A7" w14:textId="11088E71" w:rsidR="008E114B" w:rsidRDefault="008E114B" w:rsidP="008E114B">
            <w:pPr>
              <w:spacing w:before="0" w:after="0" w:line="240" w:lineRule="auto"/>
              <w:ind w:left="360"/>
              <w:jc w:val="both"/>
            </w:pPr>
            <w:r>
              <w:rPr>
                <w:rFonts w:eastAsia="Arial"/>
                <w:b/>
                <w:bCs/>
              </w:rPr>
              <w:t xml:space="preserve">Revision Description:  </w:t>
            </w:r>
            <w:r>
              <w:rPr>
                <w:rFonts w:eastAsia="Arial"/>
              </w:rPr>
              <w:t xml:space="preserve">This LPGRR relocates the majority of the Profile Decision Tree from its current Excel format into the Load Profiling Guide, itself, with the exception of the Profile Decision Tree’s </w:t>
            </w:r>
            <w:proofErr w:type="spellStart"/>
            <w:r>
              <w:rPr>
                <w:rFonts w:eastAsia="Arial"/>
              </w:rPr>
              <w:t>ZipToZone</w:t>
            </w:r>
            <w:proofErr w:type="spellEnd"/>
            <w:r>
              <w:rPr>
                <w:rFonts w:eastAsia="Arial"/>
              </w:rPr>
              <w:t>, DG Template, and Valid Profile IDs worksheets; and updates language to align with current practices.</w:t>
            </w:r>
          </w:p>
          <w:p w14:paraId="796539C9" w14:textId="77777777" w:rsidR="008E114B" w:rsidRDefault="008E114B" w:rsidP="008E114B">
            <w:pPr>
              <w:spacing w:before="0" w:after="0" w:line="240" w:lineRule="auto"/>
              <w:ind w:left="360"/>
              <w:jc w:val="both"/>
              <w:rPr>
                <w:rFonts w:eastAsia="Arial"/>
              </w:rPr>
            </w:pPr>
            <w:hyperlink r:id="rId93" w:history="1">
              <w:r>
                <w:rPr>
                  <w:rStyle w:val="Hyperlink"/>
                  <w:rFonts w:eastAsia="Arial"/>
                  <w:b/>
                  <w:bCs/>
                </w:rPr>
                <w:t>Impact Analysis</w:t>
              </w:r>
            </w:hyperlink>
            <w:r>
              <w:rPr>
                <w:rFonts w:eastAsia="Arial"/>
                <w:b/>
                <w:bCs/>
              </w:rPr>
              <w:t xml:space="preserve">:  </w:t>
            </w:r>
            <w:r>
              <w:rPr>
                <w:rFonts w:eastAsia="Arial"/>
              </w:rPr>
              <w:t>No impact</w:t>
            </w:r>
          </w:p>
          <w:p w14:paraId="3B66D738" w14:textId="4459E2DA" w:rsidR="008E114B" w:rsidRDefault="008E114B" w:rsidP="008E114B">
            <w:pPr>
              <w:spacing w:before="0" w:after="0" w:line="240" w:lineRule="auto"/>
              <w:ind w:left="360"/>
              <w:jc w:val="both"/>
            </w:pPr>
            <w:r>
              <w:rPr>
                <w:rFonts w:eastAsia="Arial"/>
                <w:b/>
                <w:bCs/>
              </w:rPr>
              <w:t xml:space="preserve">Proposed Effective Date:  </w:t>
            </w:r>
            <w:r>
              <w:rPr>
                <w:rFonts w:eastAsia="Arial"/>
              </w:rPr>
              <w:t xml:space="preserve">The first of the month following </w:t>
            </w:r>
            <w:r w:rsidR="002A2596">
              <w:rPr>
                <w:rFonts w:eastAsia="Arial"/>
              </w:rPr>
              <w:t>PUCT</w:t>
            </w:r>
            <w:r>
              <w:rPr>
                <w:rFonts w:eastAsia="Arial"/>
              </w:rPr>
              <w:t xml:space="preserve"> approval</w:t>
            </w:r>
          </w:p>
          <w:p w14:paraId="735B5B47" w14:textId="77777777" w:rsidR="008E114B" w:rsidRPr="009605D2" w:rsidRDefault="008E114B" w:rsidP="008E114B">
            <w:pPr>
              <w:spacing w:before="0" w:after="0" w:line="240" w:lineRule="auto"/>
              <w:ind w:left="360"/>
              <w:jc w:val="both"/>
            </w:pPr>
            <w:hyperlink r:id="rId94" w:history="1">
              <w:r w:rsidRPr="009605D2">
                <w:rPr>
                  <w:rStyle w:val="Hyperlink"/>
                  <w:rFonts w:eastAsia="Arial"/>
                  <w:b/>
                  <w:bCs/>
                </w:rPr>
                <w:t>TAC Report</w:t>
              </w:r>
            </w:hyperlink>
            <w:r>
              <w:rPr>
                <w:rFonts w:eastAsia="Arial"/>
                <w:b/>
                <w:bCs/>
              </w:rPr>
              <w:t xml:space="preserve">/Decision:  </w:t>
            </w:r>
            <w:r w:rsidRPr="009605D2">
              <w:rPr>
                <w:rFonts w:eastAsia="Arial"/>
              </w:rPr>
              <w:t>On 8/26/26, TAC voted unanimously to recommend approval of LPGRR077 as recommended by RMS in the 8/11/26 RMS Report.</w:t>
            </w:r>
          </w:p>
          <w:p w14:paraId="12C9AE21" w14:textId="77777777" w:rsidR="008E114B" w:rsidRDefault="008E114B" w:rsidP="008E114B">
            <w:pPr>
              <w:spacing w:before="0" w:after="0" w:line="240" w:lineRule="auto"/>
              <w:ind w:left="360"/>
              <w:jc w:val="both"/>
            </w:pPr>
            <w:r>
              <w:rPr>
                <w:rFonts w:eastAsia="Arial"/>
                <w:b/>
                <w:bCs/>
              </w:rPr>
              <w:t xml:space="preserve">ERCOT Opinion:  </w:t>
            </w:r>
            <w:r>
              <w:rPr>
                <w:rFonts w:eastAsia="Arial"/>
              </w:rPr>
              <w:t>ERCOT supports approval of LPGRR077.</w:t>
            </w:r>
          </w:p>
          <w:p w14:paraId="5E29DADD" w14:textId="77777777" w:rsidR="008E114B" w:rsidRDefault="008E114B" w:rsidP="008E114B">
            <w:pPr>
              <w:spacing w:before="0" w:after="0" w:line="240" w:lineRule="auto"/>
              <w:ind w:left="360"/>
              <w:jc w:val="both"/>
            </w:pPr>
            <w:r>
              <w:rPr>
                <w:rFonts w:eastAsia="Arial"/>
                <w:b/>
                <w:bCs/>
              </w:rPr>
              <w:t xml:space="preserve">ERCOT Market Impact Statement:  </w:t>
            </w:r>
            <w:r>
              <w:rPr>
                <w:rFonts w:eastAsia="Arial"/>
              </w:rPr>
              <w:t xml:space="preserve">ERCOT Staff has reviewed LPGRR077 and believes that it provides a positive market impact through process improvement by </w:t>
            </w:r>
            <w:r>
              <w:rPr>
                <w:rFonts w:eastAsia="Arial"/>
              </w:rPr>
              <w:lastRenderedPageBreak/>
              <w:t>relocating the majority of the Profile Decision Tree from its current Excel format into the Load Profiling Guide and updating language to align with current practices.</w:t>
            </w:r>
          </w:p>
          <w:p w14:paraId="06BE36F1" w14:textId="77777777" w:rsidR="008E114B" w:rsidRDefault="008E114B" w:rsidP="008E114B">
            <w:pPr>
              <w:spacing w:before="0" w:after="0" w:line="240" w:lineRule="auto"/>
              <w:ind w:left="360"/>
              <w:jc w:val="both"/>
            </w:pPr>
            <w:r>
              <w:rPr>
                <w:rFonts w:eastAsia="Arial"/>
                <w:b/>
                <w:bCs/>
              </w:rPr>
              <w:t xml:space="preserve">Independent Market Monitor (IMM) Opinion:  </w:t>
            </w:r>
            <w:r>
              <w:rPr>
                <w:rFonts w:eastAsia="Arial"/>
              </w:rPr>
              <w:t>IMM has no opinion on LPGRR077.</w:t>
            </w:r>
          </w:p>
          <w:p w14:paraId="4A4E692F" w14:textId="77777777" w:rsidR="008E114B" w:rsidRDefault="008E114B" w:rsidP="008E114B">
            <w:pPr>
              <w:spacing w:before="0" w:after="0" w:line="240" w:lineRule="auto"/>
              <w:ind w:left="360"/>
              <w:jc w:val="both"/>
            </w:pPr>
            <w:hyperlink r:id="rId95" w:anchor="keydocs" w:history="1">
              <w:r>
                <w:rPr>
                  <w:rStyle w:val="Hyperlink"/>
                  <w:rFonts w:eastAsia="Arial"/>
                  <w:b/>
                  <w:bCs/>
                </w:rPr>
                <w:t>Key Documents</w:t>
              </w:r>
            </w:hyperlink>
            <w:r>
              <w:rPr>
                <w:rFonts w:eastAsia="Arial"/>
                <w:b/>
                <w:bCs/>
              </w:rPr>
              <w:t xml:space="preserve"> (including comments, ballots, reports and impact analyses)</w:t>
            </w:r>
          </w:p>
          <w:p w14:paraId="171C2353" w14:textId="77777777" w:rsidR="000D3CCA" w:rsidRDefault="000D3CCA">
            <w:pPr>
              <w:spacing w:before="0" w:after="0" w:line="240" w:lineRule="auto"/>
            </w:pPr>
          </w:p>
          <w:p w14:paraId="2D83D22A" w14:textId="77777777" w:rsidR="000D3CCA" w:rsidRDefault="00ED7A6A">
            <w:pPr>
              <w:pStyle w:val="ListParagraph"/>
              <w:numPr>
                <w:ilvl w:val="0"/>
                <w:numId w:val="25"/>
              </w:numPr>
              <w:spacing w:before="0" w:after="0" w:line="240" w:lineRule="auto"/>
              <w:ind w:left="360"/>
              <w:contextualSpacing w:val="0"/>
              <w:jc w:val="both"/>
            </w:pPr>
            <w:hyperlink r:id="rId96" w:history="1">
              <w:r>
                <w:rPr>
                  <w:rStyle w:val="Hyperlink"/>
                  <w:rFonts w:eastAsia="Arial"/>
                  <w:b/>
                  <w:bCs/>
                  <w:i/>
                  <w:iCs/>
                </w:rPr>
                <w:t>NOGRR273, Related to NPRR1264, Creation of a New Energy Attribute Certificate Program</w:t>
              </w:r>
            </w:hyperlink>
          </w:p>
          <w:p w14:paraId="352252C6" w14:textId="1121E145" w:rsidR="000D3CCA" w:rsidRDefault="00ED7A6A">
            <w:pPr>
              <w:spacing w:before="0" w:after="0" w:line="240" w:lineRule="auto"/>
              <w:ind w:left="360"/>
              <w:jc w:val="both"/>
            </w:pPr>
            <w:r>
              <w:rPr>
                <w:rFonts w:eastAsia="Arial"/>
                <w:b/>
                <w:bCs/>
              </w:rPr>
              <w:t xml:space="preserve">Sponsor:  </w:t>
            </w:r>
            <w:r>
              <w:rPr>
                <w:rFonts w:eastAsia="Arial"/>
              </w:rPr>
              <w:t>TEBA; Goff Policy</w:t>
            </w:r>
          </w:p>
          <w:p w14:paraId="00CE54A5" w14:textId="5482610C" w:rsidR="000D3CCA" w:rsidRDefault="00ED7A6A">
            <w:pPr>
              <w:spacing w:before="0" w:after="0" w:line="240" w:lineRule="auto"/>
              <w:ind w:left="360"/>
              <w:jc w:val="both"/>
            </w:pPr>
            <w:r>
              <w:rPr>
                <w:rFonts w:eastAsia="Arial"/>
                <w:b/>
                <w:bCs/>
              </w:rPr>
              <w:t xml:space="preserve">Revision Description:  </w:t>
            </w:r>
            <w:r>
              <w:rPr>
                <w:rFonts w:eastAsia="Arial"/>
              </w:rPr>
              <w:t xml:space="preserve">This </w:t>
            </w:r>
            <w:r w:rsidR="002A2596">
              <w:rPr>
                <w:rFonts w:eastAsia="Arial"/>
              </w:rPr>
              <w:t>NOGRR</w:t>
            </w:r>
            <w:r>
              <w:rPr>
                <w:rFonts w:eastAsia="Arial"/>
              </w:rPr>
              <w:t xml:space="preserve"> modifies what an Entity may be affected by in order to qualify to submit NOGRRs, in alignment with Protocol changes made by NPRR1264.</w:t>
            </w:r>
          </w:p>
          <w:p w14:paraId="19B3C820" w14:textId="25AE4508" w:rsidR="008E0A26" w:rsidRDefault="00ED7A6A" w:rsidP="008E0A26">
            <w:pPr>
              <w:spacing w:before="0" w:after="0" w:line="240" w:lineRule="auto"/>
              <w:ind w:left="360"/>
              <w:jc w:val="both"/>
              <w:rPr>
                <w:rFonts w:eastAsia="Arial"/>
              </w:rPr>
            </w:pPr>
            <w:hyperlink r:id="rId97" w:history="1">
              <w:r>
                <w:rPr>
                  <w:rStyle w:val="Hyperlink"/>
                  <w:rFonts w:eastAsia="Arial"/>
                  <w:b/>
                  <w:bCs/>
                </w:rPr>
                <w:t>Impact Analysis</w:t>
              </w:r>
            </w:hyperlink>
            <w:r>
              <w:rPr>
                <w:rFonts w:eastAsia="Arial"/>
                <w:b/>
                <w:bCs/>
              </w:rPr>
              <w:t xml:space="preserve">:  </w:t>
            </w:r>
            <w:r w:rsidR="008E0A26">
              <w:rPr>
                <w:rFonts w:eastAsia="Arial"/>
              </w:rPr>
              <w:t>No impact (</w:t>
            </w:r>
            <w:r w:rsidR="008E0A26" w:rsidRPr="008E0A26">
              <w:rPr>
                <w:rFonts w:eastAsia="Arial"/>
              </w:rPr>
              <w:t>There are no additional impacts to this NOGRR beyond what was captured in the Impact</w:t>
            </w:r>
            <w:r w:rsidR="008E0A26">
              <w:rPr>
                <w:rFonts w:eastAsia="Arial"/>
              </w:rPr>
              <w:t xml:space="preserve"> </w:t>
            </w:r>
            <w:r w:rsidR="008E0A26" w:rsidRPr="008E0A26">
              <w:rPr>
                <w:rFonts w:eastAsia="Arial"/>
              </w:rPr>
              <w:t>Analysis for NPRR1264.</w:t>
            </w:r>
            <w:r w:rsidR="008E0A26">
              <w:rPr>
                <w:rFonts w:eastAsia="Arial"/>
              </w:rPr>
              <w:t>)</w:t>
            </w:r>
          </w:p>
          <w:p w14:paraId="0691E1D6" w14:textId="573C554B" w:rsidR="000D3CCA" w:rsidRDefault="00ED7A6A">
            <w:pPr>
              <w:spacing w:before="0" w:after="0" w:line="240" w:lineRule="auto"/>
              <w:ind w:left="360"/>
              <w:jc w:val="both"/>
            </w:pPr>
            <w:r>
              <w:rPr>
                <w:rFonts w:eastAsia="Arial"/>
                <w:b/>
                <w:bCs/>
              </w:rPr>
              <w:t xml:space="preserve">Proposed Effective Date:  </w:t>
            </w:r>
            <w:r>
              <w:rPr>
                <w:rFonts w:eastAsia="Arial"/>
              </w:rPr>
              <w:t xml:space="preserve">Upon implementation of </w:t>
            </w:r>
            <w:r w:rsidR="002A2596">
              <w:rPr>
                <w:rFonts w:eastAsia="Arial"/>
              </w:rPr>
              <w:t>NPRR1264</w:t>
            </w:r>
          </w:p>
          <w:p w14:paraId="25918272" w14:textId="1F9A439D" w:rsidR="000D3CCA" w:rsidRDefault="00ED7A6A">
            <w:pPr>
              <w:spacing w:before="0" w:after="0" w:line="240" w:lineRule="auto"/>
              <w:ind w:left="360"/>
              <w:jc w:val="both"/>
            </w:pPr>
            <w:hyperlink r:id="rId98"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NOGRR273 as recommended by ROS in the 6/4/26 ROS Report. </w:t>
            </w:r>
          </w:p>
          <w:p w14:paraId="5A461B20"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NOGRR273.</w:t>
            </w:r>
          </w:p>
          <w:p w14:paraId="4E8B6EA8"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NOGRR273 and believes that it provides a positive market impact by enhancing the ERCOT region’s economic competitiveness through the modification of what an Entity may be affected by in order to qualify to submit NOGRRs, in alignment with Protocol changes made by NPRR1264.</w:t>
            </w:r>
          </w:p>
          <w:p w14:paraId="562104E3"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NOGRR273.</w:t>
            </w:r>
          </w:p>
          <w:p w14:paraId="4BC55AD8" w14:textId="77777777" w:rsidR="000D3CCA" w:rsidRDefault="00ED7A6A">
            <w:pPr>
              <w:spacing w:before="0" w:after="0" w:line="240" w:lineRule="auto"/>
              <w:ind w:left="360"/>
              <w:jc w:val="both"/>
            </w:pPr>
            <w:hyperlink r:id="rId99" w:anchor="keydocs" w:history="1">
              <w:r>
                <w:rPr>
                  <w:rStyle w:val="Hyperlink"/>
                  <w:rFonts w:eastAsia="Arial"/>
                  <w:b/>
                  <w:bCs/>
                </w:rPr>
                <w:t>Key Documents</w:t>
              </w:r>
            </w:hyperlink>
            <w:r>
              <w:rPr>
                <w:rFonts w:eastAsia="Arial"/>
                <w:b/>
                <w:bCs/>
              </w:rPr>
              <w:t xml:space="preserve"> (including comments, ballots, reports and impact analyses)</w:t>
            </w:r>
          </w:p>
          <w:p w14:paraId="6D3AFD43" w14:textId="77777777" w:rsidR="000D3CCA" w:rsidRDefault="000D3CCA">
            <w:pPr>
              <w:spacing w:before="0" w:after="0" w:line="240" w:lineRule="auto"/>
            </w:pPr>
          </w:p>
          <w:p w14:paraId="0B12E9A8" w14:textId="77777777" w:rsidR="000D3CCA" w:rsidRDefault="00ED7A6A">
            <w:pPr>
              <w:pStyle w:val="ListParagraph"/>
              <w:numPr>
                <w:ilvl w:val="0"/>
                <w:numId w:val="25"/>
              </w:numPr>
              <w:spacing w:before="0" w:after="0" w:line="240" w:lineRule="auto"/>
              <w:ind w:left="360"/>
              <w:contextualSpacing w:val="0"/>
              <w:jc w:val="both"/>
            </w:pPr>
            <w:hyperlink r:id="rId100" w:history="1">
              <w:r>
                <w:rPr>
                  <w:rStyle w:val="Hyperlink"/>
                  <w:rFonts w:eastAsia="Arial"/>
                  <w:b/>
                  <w:bCs/>
                  <w:i/>
                  <w:iCs/>
                </w:rPr>
                <w:t>NOGRR286, Addition of 765-kV Operational Voltage Limits</w:t>
              </w:r>
            </w:hyperlink>
          </w:p>
          <w:p w14:paraId="6F9A7E50" w14:textId="26D7ACCA" w:rsidR="000D3CCA" w:rsidRDefault="00ED7A6A">
            <w:pPr>
              <w:spacing w:before="0" w:after="0" w:line="240" w:lineRule="auto"/>
              <w:ind w:left="360"/>
              <w:jc w:val="both"/>
            </w:pPr>
            <w:r>
              <w:rPr>
                <w:rFonts w:eastAsia="Arial"/>
                <w:b/>
                <w:bCs/>
              </w:rPr>
              <w:t xml:space="preserve">Sponsor:  </w:t>
            </w:r>
            <w:r w:rsidR="008E0A26">
              <w:rPr>
                <w:rFonts w:eastAsia="Arial"/>
              </w:rPr>
              <w:t>LCRA, Oncor, AEP</w:t>
            </w:r>
          </w:p>
          <w:p w14:paraId="14ECAA51" w14:textId="7E5F475D" w:rsidR="000D3CCA" w:rsidRDefault="00ED7A6A">
            <w:pPr>
              <w:spacing w:before="0" w:after="0" w:line="240" w:lineRule="auto"/>
              <w:ind w:left="360"/>
              <w:jc w:val="both"/>
            </w:pPr>
            <w:r>
              <w:rPr>
                <w:rFonts w:eastAsia="Arial"/>
                <w:b/>
                <w:bCs/>
              </w:rPr>
              <w:t xml:space="preserve">Revision Description:  </w:t>
            </w:r>
            <w:r>
              <w:rPr>
                <w:rFonts w:eastAsia="Arial"/>
              </w:rPr>
              <w:t>This NOGRR defines necessary operational guidelines to support the reliable operation of 765-kV equipment.</w:t>
            </w:r>
          </w:p>
          <w:p w14:paraId="30A413D6" w14:textId="3FCCCED5" w:rsidR="008E0A26" w:rsidRDefault="00ED7A6A">
            <w:pPr>
              <w:spacing w:before="0" w:after="0" w:line="240" w:lineRule="auto"/>
              <w:ind w:left="360"/>
              <w:jc w:val="both"/>
              <w:rPr>
                <w:rFonts w:eastAsia="Arial"/>
              </w:rPr>
            </w:pPr>
            <w:hyperlink r:id="rId101" w:history="1">
              <w:r>
                <w:rPr>
                  <w:rStyle w:val="Hyperlink"/>
                  <w:rFonts w:eastAsia="Arial"/>
                  <w:b/>
                  <w:bCs/>
                </w:rPr>
                <w:t>Impact Analysis</w:t>
              </w:r>
            </w:hyperlink>
            <w:r>
              <w:rPr>
                <w:rFonts w:eastAsia="Arial"/>
                <w:b/>
                <w:bCs/>
              </w:rPr>
              <w:t xml:space="preserve">:  </w:t>
            </w:r>
            <w:r>
              <w:rPr>
                <w:rFonts w:eastAsia="Arial"/>
              </w:rPr>
              <w:t>Less than $10</w:t>
            </w:r>
            <w:r w:rsidR="008E0A26">
              <w:rPr>
                <w:rFonts w:eastAsia="Arial"/>
              </w:rPr>
              <w:t>K</w:t>
            </w:r>
            <w:r w:rsidR="002A2596">
              <w:rPr>
                <w:rFonts w:eastAsia="Arial"/>
              </w:rPr>
              <w:t xml:space="preserve"> (O&amp;M)</w:t>
            </w:r>
          </w:p>
          <w:p w14:paraId="564EA497" w14:textId="17F1C1CA" w:rsidR="000D3CCA" w:rsidRDefault="00ED7A6A">
            <w:pPr>
              <w:spacing w:before="0" w:after="0" w:line="240" w:lineRule="auto"/>
              <w:ind w:left="360"/>
              <w:jc w:val="both"/>
            </w:pPr>
            <w:r>
              <w:rPr>
                <w:rFonts w:eastAsia="Arial"/>
                <w:b/>
                <w:bCs/>
              </w:rPr>
              <w:t xml:space="preserve">Proposed Effective Date:  </w:t>
            </w:r>
            <w:r>
              <w:rPr>
                <w:rFonts w:eastAsia="Arial"/>
              </w:rPr>
              <w:t>Upon system implementation</w:t>
            </w:r>
          </w:p>
          <w:p w14:paraId="220D136B" w14:textId="7C20ABA8" w:rsidR="000D3CCA" w:rsidRDefault="00ED7A6A">
            <w:pPr>
              <w:spacing w:before="0" w:after="0" w:line="240" w:lineRule="auto"/>
              <w:ind w:left="360"/>
              <w:jc w:val="both"/>
            </w:pPr>
            <w:hyperlink r:id="rId102"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NOGRR286 as recommended by ROS in the 7/9/26 ROS Report. </w:t>
            </w:r>
          </w:p>
          <w:p w14:paraId="6AAEAC30"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NOGRR286.</w:t>
            </w:r>
          </w:p>
          <w:p w14:paraId="4A108FBE"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believe NOGRR286 specifies the necessary operational guidelines to support the reliable operation of 765-kV equipment by defining default voltage limits to plan and promote the reliable operation of the system.</w:t>
            </w:r>
          </w:p>
          <w:p w14:paraId="786751D9"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NOGRR286.</w:t>
            </w:r>
          </w:p>
          <w:p w14:paraId="2EBBEC44" w14:textId="77777777" w:rsidR="000D3CCA" w:rsidRDefault="00ED7A6A">
            <w:pPr>
              <w:spacing w:before="0" w:after="0" w:line="240" w:lineRule="auto"/>
              <w:ind w:left="360"/>
              <w:jc w:val="both"/>
            </w:pPr>
            <w:hyperlink r:id="rId103" w:anchor="keydocs" w:history="1">
              <w:r>
                <w:rPr>
                  <w:rStyle w:val="Hyperlink"/>
                  <w:rFonts w:eastAsia="Arial"/>
                  <w:b/>
                  <w:bCs/>
                </w:rPr>
                <w:t>Key Documents</w:t>
              </w:r>
            </w:hyperlink>
            <w:r>
              <w:rPr>
                <w:rFonts w:eastAsia="Arial"/>
                <w:b/>
                <w:bCs/>
              </w:rPr>
              <w:t xml:space="preserve"> (including comments, ballots, reports and impact analyses)</w:t>
            </w:r>
          </w:p>
          <w:p w14:paraId="7A63BF0C" w14:textId="77777777" w:rsidR="000D3CCA" w:rsidRDefault="000D3CCA">
            <w:pPr>
              <w:spacing w:before="0" w:after="0" w:line="240" w:lineRule="auto"/>
            </w:pPr>
          </w:p>
          <w:p w14:paraId="5FA52119" w14:textId="77777777" w:rsidR="000D3CCA" w:rsidRDefault="00ED7A6A">
            <w:pPr>
              <w:pStyle w:val="ListParagraph"/>
              <w:numPr>
                <w:ilvl w:val="0"/>
                <w:numId w:val="25"/>
              </w:numPr>
              <w:spacing w:before="0" w:after="0" w:line="240" w:lineRule="auto"/>
              <w:ind w:left="360"/>
              <w:contextualSpacing w:val="0"/>
              <w:jc w:val="both"/>
            </w:pPr>
            <w:hyperlink r:id="rId104" w:history="1">
              <w:r>
                <w:rPr>
                  <w:rStyle w:val="Hyperlink"/>
                  <w:rFonts w:eastAsia="Arial"/>
                  <w:b/>
                  <w:bCs/>
                  <w:i/>
                  <w:iCs/>
                </w:rPr>
                <w:t>NOGRR287, Load Shed Provisions to Identify and Minimize Overlap of Essential Loads</w:t>
              </w:r>
            </w:hyperlink>
          </w:p>
          <w:p w14:paraId="5CF3B218" w14:textId="51B1CC72" w:rsidR="000D3CCA" w:rsidRDefault="00ED7A6A">
            <w:pPr>
              <w:spacing w:before="0" w:after="0" w:line="240" w:lineRule="auto"/>
              <w:ind w:left="360"/>
              <w:jc w:val="both"/>
            </w:pPr>
            <w:r>
              <w:rPr>
                <w:rFonts w:eastAsia="Arial"/>
                <w:b/>
                <w:bCs/>
              </w:rPr>
              <w:t xml:space="preserve">Sponsor:  </w:t>
            </w:r>
            <w:r>
              <w:rPr>
                <w:rFonts w:eastAsia="Arial"/>
              </w:rPr>
              <w:t>ERCOT</w:t>
            </w:r>
          </w:p>
          <w:p w14:paraId="0C041FC8" w14:textId="1D2CE883" w:rsidR="000D3CCA" w:rsidRDefault="00ED7A6A">
            <w:pPr>
              <w:spacing w:before="0" w:after="0" w:line="240" w:lineRule="auto"/>
              <w:ind w:left="360"/>
              <w:jc w:val="both"/>
            </w:pPr>
            <w:r>
              <w:rPr>
                <w:rFonts w:eastAsia="Arial"/>
                <w:b/>
                <w:bCs/>
              </w:rPr>
              <w:lastRenderedPageBreak/>
              <w:t xml:space="preserve">Revision Description:  </w:t>
            </w:r>
            <w:r>
              <w:rPr>
                <w:rFonts w:eastAsia="Arial"/>
              </w:rPr>
              <w:t>This NOGRR establishes guidelines for Transmission Operators (TOs) and Transmission and/or Distribution Service Providers (TDSPs) to collaborate in identifying and prioritizing critical natural gas infrastructure Loads essential for the reliability of the ERCOT System. Furthermore, this NOGRR outlines provisions for TOs and TDSPs to minimize overlaps between circuits designated for manual Load shedding, Under-Voltage Load Shedding (UVLS), and Under-Frequency Load Shedding (UFLS), and those circuits identified as critical Loads necessary for maintaining reliability of the ERCOT System.</w:t>
            </w:r>
          </w:p>
          <w:p w14:paraId="2D1495A5" w14:textId="3C4EB03C" w:rsidR="008E0A26" w:rsidRDefault="00ED7A6A">
            <w:pPr>
              <w:spacing w:before="0" w:after="0" w:line="240" w:lineRule="auto"/>
              <w:ind w:left="360"/>
              <w:jc w:val="both"/>
              <w:rPr>
                <w:rFonts w:eastAsia="Arial"/>
              </w:rPr>
            </w:pPr>
            <w:hyperlink r:id="rId105" w:history="1">
              <w:r>
                <w:rPr>
                  <w:rStyle w:val="Hyperlink"/>
                  <w:rFonts w:eastAsia="Arial"/>
                  <w:b/>
                  <w:bCs/>
                </w:rPr>
                <w:t>Impact Analysis</w:t>
              </w:r>
            </w:hyperlink>
            <w:r>
              <w:rPr>
                <w:rFonts w:eastAsia="Arial"/>
                <w:b/>
                <w:bCs/>
              </w:rPr>
              <w:t xml:space="preserve">:  </w:t>
            </w:r>
            <w:r w:rsidR="008E0A26">
              <w:rPr>
                <w:rFonts w:eastAsia="Arial"/>
              </w:rPr>
              <w:t xml:space="preserve">No impact </w:t>
            </w:r>
          </w:p>
          <w:p w14:paraId="15440610" w14:textId="7CA6FBBE" w:rsidR="000D3CCA" w:rsidRDefault="00ED7A6A">
            <w:pPr>
              <w:spacing w:before="0" w:after="0" w:line="240" w:lineRule="auto"/>
              <w:ind w:left="360"/>
              <w:jc w:val="both"/>
            </w:pPr>
            <w:r>
              <w:rPr>
                <w:rFonts w:eastAsia="Arial"/>
                <w:b/>
                <w:bCs/>
              </w:rPr>
              <w:t xml:space="preserve">Proposed Effective Date:  </w:t>
            </w:r>
            <w:r>
              <w:rPr>
                <w:rFonts w:eastAsia="Arial"/>
              </w:rPr>
              <w:t>April 1, 2027</w:t>
            </w:r>
          </w:p>
          <w:p w14:paraId="6DA95572" w14:textId="0C665321" w:rsidR="000D3CCA" w:rsidRDefault="00ED7A6A">
            <w:pPr>
              <w:spacing w:before="0" w:after="0" w:line="240" w:lineRule="auto"/>
              <w:ind w:left="360"/>
              <w:jc w:val="both"/>
            </w:pPr>
            <w:hyperlink r:id="rId106"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NOGRR287 as recommended by ROS in the 6/4/26 ROS Report. </w:t>
            </w:r>
          </w:p>
          <w:p w14:paraId="143FFB1D"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NOGRR287.</w:t>
            </w:r>
          </w:p>
          <w:p w14:paraId="75915562" w14:textId="2705714A" w:rsidR="000D3CCA" w:rsidRDefault="00ED7A6A">
            <w:pPr>
              <w:spacing w:before="0" w:after="0" w:line="240" w:lineRule="auto"/>
              <w:ind w:left="360"/>
              <w:jc w:val="both"/>
            </w:pPr>
            <w:r>
              <w:rPr>
                <w:rFonts w:eastAsia="Arial"/>
                <w:b/>
                <w:bCs/>
              </w:rPr>
              <w:t xml:space="preserve">ERCOT Market Impact Statement:  </w:t>
            </w:r>
            <w:r>
              <w:rPr>
                <w:rFonts w:eastAsia="Arial"/>
              </w:rPr>
              <w:t xml:space="preserve">ERCOT Staff believe NOGRR287 is necessary to establish provisions requiring TOs and TDSPs to collaborate in identifying and prioritizing critical natural gas infrastructure Loads that are essential to the reliability of the ERCOT System. The proposed revisions align with the EOP-011-4 requirements by ensuring that </w:t>
            </w:r>
            <w:r w:rsidR="002A2596">
              <w:rPr>
                <w:rFonts w:eastAsia="Arial"/>
              </w:rPr>
              <w:t>North American Reliability Corporation (</w:t>
            </w:r>
            <w:r>
              <w:rPr>
                <w:rFonts w:eastAsia="Arial"/>
              </w:rPr>
              <w:t>NERC</w:t>
            </w:r>
            <w:r w:rsidR="002A2596">
              <w:rPr>
                <w:rFonts w:eastAsia="Arial"/>
              </w:rPr>
              <w:t>)</w:t>
            </w:r>
            <w:r>
              <w:rPr>
                <w:rFonts w:eastAsia="Arial"/>
              </w:rPr>
              <w:t xml:space="preserve">-registered entities have clear provisions applicable to the ERCOT System and by clarifying each entity’s responsibilities for coordinating the identification of critical natural gas Loads and implementing the prioritization of those Loads during </w:t>
            </w:r>
            <w:r w:rsidR="002A2596">
              <w:rPr>
                <w:rFonts w:eastAsia="Arial"/>
              </w:rPr>
              <w:t>Energy Emergency Alert (</w:t>
            </w:r>
            <w:r>
              <w:rPr>
                <w:rFonts w:eastAsia="Arial"/>
              </w:rPr>
              <w:t>EEA</w:t>
            </w:r>
            <w:r w:rsidR="002A2596">
              <w:rPr>
                <w:rFonts w:eastAsia="Arial"/>
              </w:rPr>
              <w:t>)</w:t>
            </w:r>
            <w:r>
              <w:rPr>
                <w:rFonts w:eastAsia="Arial"/>
              </w:rPr>
              <w:t xml:space="preserve"> Level 3 Load shed event.</w:t>
            </w:r>
          </w:p>
          <w:p w14:paraId="6385863D"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NOGRR287.</w:t>
            </w:r>
          </w:p>
          <w:p w14:paraId="147BB2E5" w14:textId="77777777" w:rsidR="000D3CCA" w:rsidRDefault="00ED7A6A">
            <w:pPr>
              <w:spacing w:before="0" w:after="0" w:line="240" w:lineRule="auto"/>
              <w:ind w:left="360"/>
              <w:jc w:val="both"/>
              <w:rPr>
                <w:rFonts w:eastAsia="Arial"/>
                <w:b/>
                <w:bCs/>
              </w:rPr>
            </w:pPr>
            <w:hyperlink r:id="rId107" w:anchor="keydocs" w:history="1">
              <w:r>
                <w:rPr>
                  <w:rStyle w:val="Hyperlink"/>
                  <w:rFonts w:eastAsia="Arial"/>
                  <w:b/>
                  <w:bCs/>
                </w:rPr>
                <w:t>Key Documents</w:t>
              </w:r>
            </w:hyperlink>
            <w:r>
              <w:rPr>
                <w:rFonts w:eastAsia="Arial"/>
                <w:b/>
                <w:bCs/>
              </w:rPr>
              <w:t xml:space="preserve"> (including comments, ballots, reports and impact analyses)</w:t>
            </w:r>
          </w:p>
          <w:p w14:paraId="601CD11C" w14:textId="77777777" w:rsidR="008E114B" w:rsidRDefault="008E114B">
            <w:pPr>
              <w:spacing w:before="0" w:after="0" w:line="240" w:lineRule="auto"/>
              <w:ind w:left="360"/>
              <w:jc w:val="both"/>
              <w:rPr>
                <w:rFonts w:eastAsia="Arial"/>
                <w:b/>
                <w:bCs/>
              </w:rPr>
            </w:pPr>
          </w:p>
          <w:p w14:paraId="02FAC97E" w14:textId="77777777" w:rsidR="008E114B" w:rsidRDefault="008E114B" w:rsidP="008E114B">
            <w:pPr>
              <w:pStyle w:val="ListParagraph"/>
              <w:numPr>
                <w:ilvl w:val="0"/>
                <w:numId w:val="25"/>
              </w:numPr>
              <w:spacing w:before="0" w:after="0" w:line="240" w:lineRule="auto"/>
              <w:ind w:left="360"/>
              <w:contextualSpacing w:val="0"/>
              <w:jc w:val="both"/>
            </w:pPr>
            <w:hyperlink r:id="rId108" w:history="1">
              <w:r>
                <w:rPr>
                  <w:rStyle w:val="Hyperlink"/>
                  <w:rFonts w:eastAsia="Arial"/>
                  <w:b/>
                  <w:bCs/>
                  <w:i/>
                  <w:iCs/>
                </w:rPr>
                <w:t>PGRR123, Related to NPRR1264, Creation of a New Energy Attribute Certificate Program</w:t>
              </w:r>
            </w:hyperlink>
          </w:p>
          <w:p w14:paraId="6A10A7CF" w14:textId="772B9B16" w:rsidR="008E114B" w:rsidRDefault="008E114B" w:rsidP="008E114B">
            <w:pPr>
              <w:spacing w:before="0" w:after="0" w:line="240" w:lineRule="auto"/>
              <w:ind w:left="360"/>
              <w:jc w:val="both"/>
            </w:pPr>
            <w:r>
              <w:rPr>
                <w:rFonts w:eastAsia="Arial"/>
                <w:b/>
                <w:bCs/>
              </w:rPr>
              <w:t xml:space="preserve">Sponsor:  </w:t>
            </w:r>
            <w:r>
              <w:rPr>
                <w:rFonts w:eastAsia="Arial"/>
              </w:rPr>
              <w:t>TEBA</w:t>
            </w:r>
            <w:r w:rsidR="002A2596">
              <w:rPr>
                <w:rFonts w:eastAsia="Arial"/>
              </w:rPr>
              <w:t>,</w:t>
            </w:r>
            <w:r>
              <w:rPr>
                <w:rFonts w:eastAsia="Arial"/>
              </w:rPr>
              <w:t xml:space="preserve"> Goff Policy</w:t>
            </w:r>
          </w:p>
          <w:p w14:paraId="1C02A385" w14:textId="43247CA3" w:rsidR="008E114B" w:rsidRDefault="008E114B" w:rsidP="008E114B">
            <w:pPr>
              <w:spacing w:before="0" w:after="0" w:line="240" w:lineRule="auto"/>
              <w:ind w:left="360"/>
              <w:jc w:val="both"/>
            </w:pPr>
            <w:r>
              <w:rPr>
                <w:rFonts w:eastAsia="Arial"/>
                <w:b/>
                <w:bCs/>
              </w:rPr>
              <w:t xml:space="preserve">Revision Description:  </w:t>
            </w:r>
            <w:r>
              <w:rPr>
                <w:rFonts w:eastAsia="Arial"/>
              </w:rPr>
              <w:t>This PGRR modifies what an Entity may be affected by in order to qualify to submit PGRRs, in alignment with Protocol changes made by NPRR1264.</w:t>
            </w:r>
          </w:p>
          <w:p w14:paraId="2C47DE57" w14:textId="77777777" w:rsidR="008E114B" w:rsidRDefault="008E114B" w:rsidP="008E114B">
            <w:pPr>
              <w:spacing w:before="0" w:after="0" w:line="240" w:lineRule="auto"/>
              <w:ind w:left="360"/>
              <w:jc w:val="both"/>
              <w:rPr>
                <w:rFonts w:eastAsia="Arial"/>
              </w:rPr>
            </w:pPr>
            <w:hyperlink r:id="rId109" w:history="1">
              <w:r>
                <w:rPr>
                  <w:rStyle w:val="Hyperlink"/>
                  <w:rFonts w:eastAsia="Arial"/>
                  <w:b/>
                  <w:bCs/>
                </w:rPr>
                <w:t>Impact Analysis</w:t>
              </w:r>
            </w:hyperlink>
            <w:r>
              <w:rPr>
                <w:rFonts w:eastAsia="Arial"/>
                <w:b/>
                <w:bCs/>
              </w:rPr>
              <w:t xml:space="preserve">:  </w:t>
            </w:r>
            <w:r>
              <w:rPr>
                <w:rFonts w:eastAsia="Arial"/>
              </w:rPr>
              <w:t>No impact (</w:t>
            </w:r>
            <w:r w:rsidRPr="00F578A9">
              <w:rPr>
                <w:rFonts w:eastAsia="Arial"/>
              </w:rPr>
              <w:t>There are no additional impacts to this PGRR beyond what was captured in the Impact Analysis</w:t>
            </w:r>
            <w:r>
              <w:rPr>
                <w:rFonts w:eastAsia="Arial"/>
              </w:rPr>
              <w:t xml:space="preserve"> </w:t>
            </w:r>
            <w:r w:rsidRPr="00F578A9">
              <w:rPr>
                <w:rFonts w:eastAsia="Arial"/>
              </w:rPr>
              <w:t>for NPRR1264.</w:t>
            </w:r>
            <w:r>
              <w:rPr>
                <w:rFonts w:eastAsia="Arial"/>
              </w:rPr>
              <w:t>)</w:t>
            </w:r>
          </w:p>
          <w:p w14:paraId="5C296BD9" w14:textId="06DD5174" w:rsidR="008E114B" w:rsidRDefault="008E114B" w:rsidP="008E114B">
            <w:pPr>
              <w:spacing w:before="0" w:after="0" w:line="240" w:lineRule="auto"/>
              <w:ind w:left="360"/>
              <w:jc w:val="both"/>
            </w:pPr>
            <w:r>
              <w:rPr>
                <w:rFonts w:eastAsia="Arial"/>
                <w:b/>
                <w:bCs/>
              </w:rPr>
              <w:t xml:space="preserve">Proposed Effective Date:  </w:t>
            </w:r>
            <w:r>
              <w:rPr>
                <w:rFonts w:eastAsia="Arial"/>
              </w:rPr>
              <w:t xml:space="preserve">Upon implementation of </w:t>
            </w:r>
            <w:r w:rsidR="002A2596">
              <w:rPr>
                <w:rFonts w:eastAsia="Arial"/>
              </w:rPr>
              <w:t>NPRR1264</w:t>
            </w:r>
          </w:p>
          <w:p w14:paraId="3C1B3F2C" w14:textId="4C8FDFA5" w:rsidR="008E114B" w:rsidRDefault="008E114B" w:rsidP="008E114B">
            <w:pPr>
              <w:spacing w:before="0" w:after="0" w:line="240" w:lineRule="auto"/>
              <w:ind w:left="360"/>
              <w:jc w:val="both"/>
            </w:pPr>
            <w:hyperlink r:id="rId110"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PGRR123 as recommended by ROS in the 6/4/26 ROS Report. </w:t>
            </w:r>
          </w:p>
          <w:p w14:paraId="7C533E91" w14:textId="77777777" w:rsidR="008E114B" w:rsidRDefault="008E114B" w:rsidP="008E114B">
            <w:pPr>
              <w:spacing w:before="0" w:after="0" w:line="240" w:lineRule="auto"/>
              <w:ind w:left="360"/>
              <w:jc w:val="both"/>
            </w:pPr>
            <w:r>
              <w:rPr>
                <w:rFonts w:eastAsia="Arial"/>
                <w:b/>
                <w:bCs/>
              </w:rPr>
              <w:t xml:space="preserve">ERCOT Opinion:  </w:t>
            </w:r>
            <w:r>
              <w:rPr>
                <w:rFonts w:eastAsia="Arial"/>
              </w:rPr>
              <w:t>ERCOT supports approval of PGRR123.</w:t>
            </w:r>
          </w:p>
          <w:p w14:paraId="20943ABC" w14:textId="77777777" w:rsidR="008E114B" w:rsidRDefault="008E114B" w:rsidP="008E114B">
            <w:pPr>
              <w:spacing w:before="0" w:after="0" w:line="240" w:lineRule="auto"/>
              <w:ind w:left="360"/>
              <w:jc w:val="both"/>
            </w:pPr>
            <w:r>
              <w:rPr>
                <w:rFonts w:eastAsia="Arial"/>
                <w:b/>
                <w:bCs/>
              </w:rPr>
              <w:t xml:space="preserve">ERCOT Market Impact Statement:  </w:t>
            </w:r>
            <w:r>
              <w:rPr>
                <w:rFonts w:eastAsia="Arial"/>
              </w:rPr>
              <w:t>ERCOT Staff has reviewed PGRR123 and believes that it provides a positive market impact by enhancing the ERCOT region’s economic competitiveness through the modification of what an Entity may be affected by in order to qualify to submit PGRRs, in alignment with Protocol changes made by NPRR1264.</w:t>
            </w:r>
          </w:p>
          <w:p w14:paraId="719E1416" w14:textId="77777777" w:rsidR="008E114B" w:rsidRDefault="008E114B" w:rsidP="008E114B">
            <w:pPr>
              <w:spacing w:before="0" w:after="0" w:line="240" w:lineRule="auto"/>
              <w:ind w:left="360"/>
              <w:jc w:val="both"/>
            </w:pPr>
            <w:r>
              <w:rPr>
                <w:rFonts w:eastAsia="Arial"/>
                <w:b/>
                <w:bCs/>
              </w:rPr>
              <w:t xml:space="preserve">Independent Market Monitor (IMM) Opinion:  </w:t>
            </w:r>
            <w:r>
              <w:rPr>
                <w:rFonts w:eastAsia="Arial"/>
              </w:rPr>
              <w:t>IMM has no opinion on PGRR123.</w:t>
            </w:r>
          </w:p>
          <w:p w14:paraId="58758F5E" w14:textId="77777777" w:rsidR="008E114B" w:rsidRDefault="008E114B" w:rsidP="008E114B">
            <w:pPr>
              <w:spacing w:before="0" w:after="0" w:line="240" w:lineRule="auto"/>
              <w:ind w:left="360"/>
              <w:jc w:val="both"/>
            </w:pPr>
            <w:hyperlink r:id="rId111" w:anchor="keydocs" w:history="1">
              <w:r>
                <w:rPr>
                  <w:rStyle w:val="Hyperlink"/>
                  <w:rFonts w:eastAsia="Arial"/>
                  <w:b/>
                  <w:bCs/>
                </w:rPr>
                <w:t>Key Documents</w:t>
              </w:r>
            </w:hyperlink>
            <w:r>
              <w:rPr>
                <w:rFonts w:eastAsia="Arial"/>
                <w:b/>
                <w:bCs/>
              </w:rPr>
              <w:t xml:space="preserve"> (including comments, ballots, reports and impact analyses)</w:t>
            </w:r>
          </w:p>
          <w:p w14:paraId="310A0142" w14:textId="77777777" w:rsidR="008E114B" w:rsidRDefault="008E114B" w:rsidP="008E114B">
            <w:pPr>
              <w:spacing w:before="0" w:after="0" w:line="240" w:lineRule="auto"/>
            </w:pPr>
          </w:p>
          <w:p w14:paraId="67DF2155" w14:textId="77777777" w:rsidR="008E114B" w:rsidRDefault="008E114B" w:rsidP="008E114B">
            <w:pPr>
              <w:pStyle w:val="ListParagraph"/>
              <w:numPr>
                <w:ilvl w:val="0"/>
                <w:numId w:val="25"/>
              </w:numPr>
              <w:spacing w:before="0" w:after="0" w:line="240" w:lineRule="auto"/>
              <w:ind w:left="360"/>
              <w:contextualSpacing w:val="0"/>
              <w:jc w:val="both"/>
            </w:pPr>
            <w:hyperlink r:id="rId112" w:history="1">
              <w:r>
                <w:rPr>
                  <w:rStyle w:val="Hyperlink"/>
                  <w:rFonts w:eastAsia="Arial"/>
                  <w:b/>
                  <w:bCs/>
                  <w:i/>
                  <w:iCs/>
                </w:rPr>
                <w:t>PGRR128, Regional Planning Group Discussion of Grid Enhancing Technologies</w:t>
              </w:r>
            </w:hyperlink>
          </w:p>
          <w:p w14:paraId="760EAA58" w14:textId="230F8117" w:rsidR="008E114B" w:rsidRDefault="008E114B" w:rsidP="008E114B">
            <w:pPr>
              <w:spacing w:before="0" w:after="0" w:line="240" w:lineRule="auto"/>
              <w:ind w:left="360"/>
              <w:jc w:val="both"/>
            </w:pPr>
            <w:r>
              <w:rPr>
                <w:rFonts w:eastAsia="Arial"/>
                <w:b/>
                <w:bCs/>
              </w:rPr>
              <w:t xml:space="preserve">Sponsor:  </w:t>
            </w:r>
            <w:r>
              <w:rPr>
                <w:rFonts w:eastAsia="Arial"/>
              </w:rPr>
              <w:t>TEBA</w:t>
            </w:r>
            <w:r w:rsidR="002A2596">
              <w:rPr>
                <w:rFonts w:eastAsia="Arial"/>
              </w:rPr>
              <w:t>,</w:t>
            </w:r>
            <w:r>
              <w:rPr>
                <w:rFonts w:eastAsia="Arial"/>
              </w:rPr>
              <w:t xml:space="preserve"> Goff Policy</w:t>
            </w:r>
          </w:p>
          <w:p w14:paraId="2BA9E476" w14:textId="77777777" w:rsidR="008E114B" w:rsidRDefault="008E114B" w:rsidP="008E114B">
            <w:pPr>
              <w:spacing w:before="0" w:after="0" w:line="240" w:lineRule="auto"/>
              <w:ind w:left="360"/>
              <w:jc w:val="both"/>
            </w:pPr>
            <w:r>
              <w:rPr>
                <w:rFonts w:eastAsia="Arial"/>
                <w:b/>
                <w:bCs/>
              </w:rPr>
              <w:t xml:space="preserve">Revision Description:  </w:t>
            </w:r>
            <w:r>
              <w:rPr>
                <w:rFonts w:eastAsia="Arial"/>
              </w:rPr>
              <w:t>This Planning Guide Revision Request (PGRR) suggests ERCOT should host an annual forum to discuss advanced transmission technologies, commonly referred to as grid enhancing technologies (“GETs”) and high performance conductors (“HPCs”).</w:t>
            </w:r>
          </w:p>
          <w:p w14:paraId="257EE488" w14:textId="77777777" w:rsidR="002A2596" w:rsidRDefault="008E114B" w:rsidP="008E114B">
            <w:pPr>
              <w:spacing w:before="0" w:after="0" w:line="240" w:lineRule="auto"/>
              <w:ind w:left="360"/>
              <w:jc w:val="both"/>
              <w:rPr>
                <w:rFonts w:eastAsia="Arial"/>
              </w:rPr>
            </w:pPr>
            <w:hyperlink r:id="rId113" w:history="1">
              <w:r>
                <w:rPr>
                  <w:rStyle w:val="Hyperlink"/>
                  <w:rFonts w:eastAsia="Arial"/>
                  <w:b/>
                  <w:bCs/>
                </w:rPr>
                <w:t>Impact Analysis</w:t>
              </w:r>
            </w:hyperlink>
            <w:r>
              <w:rPr>
                <w:rFonts w:eastAsia="Arial"/>
                <w:b/>
                <w:bCs/>
              </w:rPr>
              <w:t xml:space="preserve">:  </w:t>
            </w:r>
            <w:r w:rsidR="002A2596">
              <w:rPr>
                <w:rFonts w:eastAsia="Arial"/>
              </w:rPr>
              <w:t>No impact</w:t>
            </w:r>
          </w:p>
          <w:p w14:paraId="2FAE4B53" w14:textId="15437A49" w:rsidR="008E114B" w:rsidRDefault="008E114B" w:rsidP="008E114B">
            <w:pPr>
              <w:spacing w:before="0" w:after="0" w:line="240" w:lineRule="auto"/>
              <w:ind w:left="360"/>
              <w:jc w:val="both"/>
            </w:pPr>
            <w:r>
              <w:rPr>
                <w:rFonts w:eastAsia="Arial"/>
                <w:b/>
                <w:bCs/>
              </w:rPr>
              <w:t xml:space="preserve">Proposed Effective Date:  </w:t>
            </w:r>
            <w:r>
              <w:rPr>
                <w:rFonts w:eastAsia="Arial"/>
              </w:rPr>
              <w:t xml:space="preserve">The first of the month following </w:t>
            </w:r>
            <w:r w:rsidR="002A2596">
              <w:rPr>
                <w:rFonts w:eastAsia="Arial"/>
              </w:rPr>
              <w:t>PUCT approval</w:t>
            </w:r>
          </w:p>
          <w:p w14:paraId="4C8C7B6E" w14:textId="77777777" w:rsidR="008E114B" w:rsidRDefault="008E114B" w:rsidP="008E114B">
            <w:pPr>
              <w:spacing w:before="0" w:after="0" w:line="240" w:lineRule="auto"/>
              <w:ind w:left="360"/>
              <w:jc w:val="both"/>
            </w:pPr>
            <w:hyperlink r:id="rId114" w:history="1">
              <w:r>
                <w:rPr>
                  <w:rStyle w:val="Hyperlink"/>
                  <w:rFonts w:eastAsia="Arial"/>
                  <w:b/>
                  <w:bCs/>
                </w:rPr>
                <w:t>TAC Report</w:t>
              </w:r>
            </w:hyperlink>
            <w:r>
              <w:rPr>
                <w:rFonts w:eastAsia="Arial"/>
                <w:b/>
                <w:bCs/>
              </w:rPr>
              <w:t xml:space="preserve">/Decision:  </w:t>
            </w:r>
            <w:r>
              <w:rPr>
                <w:rFonts w:eastAsia="Arial"/>
              </w:rPr>
              <w:t>On 7/29/26, TAC voted unanimously to recommend approval of PGRR128 as recommended by ROS in the 7/9/26 ROS Report. All Market Segments were present for the vote.</w:t>
            </w:r>
          </w:p>
          <w:p w14:paraId="4468015A" w14:textId="77777777" w:rsidR="008E114B" w:rsidRDefault="008E114B" w:rsidP="008E114B">
            <w:pPr>
              <w:spacing w:before="0" w:after="0" w:line="240" w:lineRule="auto"/>
              <w:ind w:left="360"/>
              <w:jc w:val="both"/>
            </w:pPr>
            <w:r>
              <w:rPr>
                <w:rFonts w:eastAsia="Arial"/>
                <w:b/>
                <w:bCs/>
              </w:rPr>
              <w:t xml:space="preserve">ERCOT Opinion:  </w:t>
            </w:r>
            <w:r>
              <w:rPr>
                <w:rFonts w:eastAsia="Arial"/>
              </w:rPr>
              <w:t>ERCOT supports approval of PGRR128.</w:t>
            </w:r>
          </w:p>
          <w:p w14:paraId="6508C417" w14:textId="77777777" w:rsidR="008E114B" w:rsidRDefault="008E114B" w:rsidP="008E114B">
            <w:pPr>
              <w:spacing w:before="0" w:after="0" w:line="240" w:lineRule="auto"/>
              <w:ind w:left="360"/>
              <w:jc w:val="both"/>
            </w:pPr>
            <w:r>
              <w:rPr>
                <w:rFonts w:eastAsia="Arial"/>
                <w:b/>
                <w:bCs/>
              </w:rPr>
              <w:t xml:space="preserve">ERCOT Market Impact Statement:  </w:t>
            </w:r>
            <w:r>
              <w:rPr>
                <w:rFonts w:eastAsia="Arial"/>
              </w:rPr>
              <w:t xml:space="preserve">ERCOT supports approval of PGRR128. ERCOT Staff has reviewed PGRR128 and </w:t>
            </w:r>
            <w:proofErr w:type="gramStart"/>
            <w:r>
              <w:rPr>
                <w:rFonts w:eastAsia="Arial"/>
              </w:rPr>
              <w:t>believes</w:t>
            </w:r>
            <w:proofErr w:type="gramEnd"/>
            <w:r>
              <w:rPr>
                <w:rFonts w:eastAsia="Arial"/>
              </w:rPr>
              <w:t xml:space="preserve"> it provides a positive market impact by way of an annual workshop to discuss the use of emerging technologies for </w:t>
            </w:r>
            <w:proofErr w:type="gramStart"/>
            <w:r>
              <w:rPr>
                <w:rFonts w:eastAsia="Arial"/>
              </w:rPr>
              <w:t>the ERCOT</w:t>
            </w:r>
            <w:proofErr w:type="gramEnd"/>
            <w:r>
              <w:rPr>
                <w:rFonts w:eastAsia="Arial"/>
              </w:rPr>
              <w:t xml:space="preserve"> Transmission Grid.</w:t>
            </w:r>
          </w:p>
          <w:p w14:paraId="1C57A3DD" w14:textId="77777777" w:rsidR="008E114B" w:rsidRDefault="008E114B" w:rsidP="008E114B">
            <w:pPr>
              <w:spacing w:before="0" w:after="0" w:line="240" w:lineRule="auto"/>
              <w:ind w:left="360"/>
              <w:jc w:val="both"/>
            </w:pPr>
            <w:r>
              <w:rPr>
                <w:rFonts w:eastAsia="Arial"/>
                <w:b/>
                <w:bCs/>
              </w:rPr>
              <w:t xml:space="preserve">Independent Market Monitor (IMM) Opinion:  </w:t>
            </w:r>
            <w:r>
              <w:rPr>
                <w:rFonts w:eastAsia="Arial"/>
              </w:rPr>
              <w:t>IMM has no opinion on PGRR128.</w:t>
            </w:r>
          </w:p>
          <w:p w14:paraId="27019696" w14:textId="5A680216" w:rsidR="008E114B" w:rsidRDefault="008E114B" w:rsidP="008E114B">
            <w:pPr>
              <w:spacing w:before="0" w:after="0" w:line="240" w:lineRule="auto"/>
              <w:ind w:left="360"/>
              <w:jc w:val="both"/>
            </w:pPr>
            <w:hyperlink r:id="rId115" w:anchor="keydocs" w:history="1">
              <w:r>
                <w:rPr>
                  <w:rStyle w:val="Hyperlink"/>
                  <w:rFonts w:eastAsia="Arial"/>
                  <w:b/>
                  <w:bCs/>
                </w:rPr>
                <w:t>Key Documents</w:t>
              </w:r>
            </w:hyperlink>
            <w:r>
              <w:rPr>
                <w:rFonts w:eastAsia="Arial"/>
                <w:b/>
                <w:bCs/>
              </w:rPr>
              <w:t xml:space="preserve"> (including comments, ballots, reports and impact analyses)</w:t>
            </w:r>
          </w:p>
          <w:p w14:paraId="688AC1C6" w14:textId="77777777" w:rsidR="000D3CCA" w:rsidRDefault="000D3CCA">
            <w:pPr>
              <w:spacing w:before="0" w:after="0" w:line="240" w:lineRule="auto"/>
            </w:pPr>
          </w:p>
          <w:p w14:paraId="2E38A6D1" w14:textId="77777777" w:rsidR="000D3CCA" w:rsidRDefault="00ED7A6A">
            <w:pPr>
              <w:pStyle w:val="ListParagraph"/>
              <w:numPr>
                <w:ilvl w:val="0"/>
                <w:numId w:val="25"/>
              </w:numPr>
              <w:spacing w:before="0" w:after="0" w:line="240" w:lineRule="auto"/>
              <w:ind w:left="360"/>
              <w:contextualSpacing w:val="0"/>
              <w:jc w:val="both"/>
            </w:pPr>
            <w:hyperlink r:id="rId116" w:history="1">
              <w:r>
                <w:rPr>
                  <w:rStyle w:val="Hyperlink"/>
                  <w:rFonts w:eastAsia="Arial"/>
                  <w:b/>
                  <w:bCs/>
                  <w:i/>
                  <w:iCs/>
                </w:rPr>
                <w:t>RMGRR182, Related to NPRR1264, Creation of a New Energy Attribute Certificate Program</w:t>
              </w:r>
            </w:hyperlink>
          </w:p>
          <w:p w14:paraId="4E646A41" w14:textId="24B60D44" w:rsidR="000D3CCA" w:rsidRDefault="00ED7A6A">
            <w:pPr>
              <w:spacing w:before="0" w:after="0" w:line="240" w:lineRule="auto"/>
              <w:ind w:left="360"/>
              <w:jc w:val="both"/>
            </w:pPr>
            <w:r>
              <w:rPr>
                <w:rFonts w:eastAsia="Arial"/>
                <w:b/>
                <w:bCs/>
              </w:rPr>
              <w:t xml:space="preserve">Sponsor:  </w:t>
            </w:r>
            <w:r w:rsidR="008E0A26">
              <w:rPr>
                <w:rFonts w:eastAsia="Arial"/>
              </w:rPr>
              <w:t>TEBA, Goff Policy</w:t>
            </w:r>
          </w:p>
          <w:p w14:paraId="7D4D20A4" w14:textId="732D2A0A" w:rsidR="000D3CCA" w:rsidRDefault="00ED7A6A">
            <w:pPr>
              <w:spacing w:before="0" w:after="0" w:line="240" w:lineRule="auto"/>
              <w:ind w:left="360"/>
              <w:jc w:val="both"/>
            </w:pPr>
            <w:r>
              <w:rPr>
                <w:rFonts w:eastAsia="Arial"/>
                <w:b/>
                <w:bCs/>
              </w:rPr>
              <w:t xml:space="preserve">Revision Description:  </w:t>
            </w:r>
            <w:r>
              <w:rPr>
                <w:rFonts w:eastAsia="Arial"/>
              </w:rPr>
              <w:t xml:space="preserve">This </w:t>
            </w:r>
            <w:r w:rsidR="002A2596">
              <w:rPr>
                <w:rFonts w:eastAsia="Arial"/>
              </w:rPr>
              <w:t>RMGRR</w:t>
            </w:r>
            <w:r>
              <w:rPr>
                <w:rFonts w:eastAsia="Arial"/>
              </w:rPr>
              <w:t xml:space="preserve"> modifies what an Entity may be affected by in order to qualify to submit RMGRRs, in alignment with Protocol changes made by NPRR1264.</w:t>
            </w:r>
          </w:p>
          <w:p w14:paraId="75C93C16" w14:textId="4683A1CB" w:rsidR="008E0A26" w:rsidRDefault="00ED7A6A" w:rsidP="008E0A26">
            <w:pPr>
              <w:spacing w:before="0" w:after="0" w:line="240" w:lineRule="auto"/>
              <w:ind w:left="360"/>
              <w:jc w:val="both"/>
              <w:rPr>
                <w:rFonts w:eastAsia="Arial"/>
              </w:rPr>
            </w:pPr>
            <w:hyperlink r:id="rId117" w:history="1">
              <w:r>
                <w:rPr>
                  <w:rStyle w:val="Hyperlink"/>
                  <w:rFonts w:eastAsia="Arial"/>
                  <w:b/>
                  <w:bCs/>
                </w:rPr>
                <w:t>Impact Analysis</w:t>
              </w:r>
            </w:hyperlink>
            <w:r>
              <w:rPr>
                <w:rFonts w:eastAsia="Arial"/>
                <w:b/>
                <w:bCs/>
              </w:rPr>
              <w:t xml:space="preserve">:  </w:t>
            </w:r>
            <w:r w:rsidR="008E0A26">
              <w:rPr>
                <w:rFonts w:eastAsia="Arial"/>
              </w:rPr>
              <w:t>No impact (</w:t>
            </w:r>
            <w:r w:rsidR="008E0A26" w:rsidRPr="008E0A26">
              <w:rPr>
                <w:rFonts w:eastAsia="Arial"/>
              </w:rPr>
              <w:t xml:space="preserve">There are no additional impacts to this </w:t>
            </w:r>
            <w:r w:rsidR="006D2657">
              <w:rPr>
                <w:rFonts w:eastAsia="Arial"/>
              </w:rPr>
              <w:t>RM</w:t>
            </w:r>
            <w:r w:rsidR="008E0A26" w:rsidRPr="008E0A26">
              <w:rPr>
                <w:rFonts w:eastAsia="Arial"/>
              </w:rPr>
              <w:t>GRR beyond what was captured in the Impact</w:t>
            </w:r>
            <w:r w:rsidR="008E0A26">
              <w:rPr>
                <w:rFonts w:eastAsia="Arial"/>
              </w:rPr>
              <w:t xml:space="preserve"> </w:t>
            </w:r>
            <w:r w:rsidR="008E0A26" w:rsidRPr="008E0A26">
              <w:rPr>
                <w:rFonts w:eastAsia="Arial"/>
              </w:rPr>
              <w:t>Analysis for NPRR1264.</w:t>
            </w:r>
            <w:r w:rsidR="008E0A26">
              <w:rPr>
                <w:rFonts w:eastAsia="Arial"/>
              </w:rPr>
              <w:t>)</w:t>
            </w:r>
          </w:p>
          <w:p w14:paraId="12EA3C66" w14:textId="59AFAB8A" w:rsidR="000D3CCA" w:rsidRDefault="00ED7A6A">
            <w:pPr>
              <w:spacing w:before="0" w:after="0" w:line="240" w:lineRule="auto"/>
              <w:ind w:left="360"/>
              <w:jc w:val="both"/>
            </w:pPr>
            <w:r>
              <w:rPr>
                <w:rFonts w:eastAsia="Arial"/>
                <w:b/>
                <w:bCs/>
              </w:rPr>
              <w:t xml:space="preserve">Proposed Effective Date:  </w:t>
            </w:r>
            <w:r>
              <w:rPr>
                <w:rFonts w:eastAsia="Arial"/>
              </w:rPr>
              <w:t>Upon implementation of</w:t>
            </w:r>
            <w:r w:rsidR="002A2596">
              <w:rPr>
                <w:rFonts w:eastAsia="Arial"/>
              </w:rPr>
              <w:t xml:space="preserve"> NPRR1264</w:t>
            </w:r>
          </w:p>
          <w:p w14:paraId="3F1BE29B" w14:textId="42E2D551" w:rsidR="000D3CCA" w:rsidRDefault="00ED7A6A">
            <w:pPr>
              <w:spacing w:before="0" w:after="0" w:line="240" w:lineRule="auto"/>
              <w:ind w:left="360"/>
              <w:jc w:val="both"/>
            </w:pPr>
            <w:hyperlink r:id="rId118"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RMGRR182 as recommended by RMS in the 6/25/26 RMS Report. </w:t>
            </w:r>
          </w:p>
          <w:p w14:paraId="2BD12E13"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RMGRR182.</w:t>
            </w:r>
          </w:p>
          <w:p w14:paraId="12E1599C"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RMGRR182 and believes that it provides a positive market impact by enhancing the ERCOT region’s economic competitiveness through the modification of what an Entity may be affected by in order to qualify to submit RMGRR, in alignment with Protocol changes made by NPRR1264.</w:t>
            </w:r>
          </w:p>
          <w:p w14:paraId="6A376CD1"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RMGRR182.</w:t>
            </w:r>
          </w:p>
          <w:p w14:paraId="6B568223" w14:textId="77777777" w:rsidR="000D3CCA" w:rsidRDefault="00ED7A6A">
            <w:pPr>
              <w:spacing w:before="0" w:after="0" w:line="240" w:lineRule="auto"/>
              <w:ind w:left="360"/>
              <w:jc w:val="both"/>
            </w:pPr>
            <w:hyperlink r:id="rId119" w:anchor="keydocs" w:history="1">
              <w:r>
                <w:rPr>
                  <w:rStyle w:val="Hyperlink"/>
                  <w:rFonts w:eastAsia="Arial"/>
                  <w:b/>
                  <w:bCs/>
                </w:rPr>
                <w:t>Key Documents</w:t>
              </w:r>
            </w:hyperlink>
            <w:r>
              <w:rPr>
                <w:rFonts w:eastAsia="Arial"/>
                <w:b/>
                <w:bCs/>
              </w:rPr>
              <w:t xml:space="preserve"> (including comments, ballots, reports and impact analyses)</w:t>
            </w:r>
          </w:p>
          <w:p w14:paraId="70CB6E5A" w14:textId="77777777" w:rsidR="000D3CCA" w:rsidRDefault="000D3CCA">
            <w:pPr>
              <w:spacing w:before="0" w:after="0" w:line="240" w:lineRule="auto"/>
            </w:pPr>
          </w:p>
          <w:p w14:paraId="4755536D" w14:textId="77777777" w:rsidR="000D3CCA" w:rsidRDefault="00ED7A6A">
            <w:pPr>
              <w:pStyle w:val="ListParagraph"/>
              <w:numPr>
                <w:ilvl w:val="0"/>
                <w:numId w:val="25"/>
              </w:numPr>
              <w:spacing w:before="0" w:after="0" w:line="240" w:lineRule="auto"/>
              <w:ind w:left="360"/>
              <w:contextualSpacing w:val="0"/>
              <w:jc w:val="both"/>
            </w:pPr>
            <w:hyperlink r:id="rId120" w:history="1">
              <w:r>
                <w:rPr>
                  <w:rStyle w:val="Hyperlink"/>
                  <w:rFonts w:eastAsia="Arial"/>
                  <w:b/>
                  <w:bCs/>
                  <w:i/>
                  <w:iCs/>
                </w:rPr>
                <w:t>RMGRR186, Related to LPGRR077, Profile Decision Tree Excel-to-Word Conversion</w:t>
              </w:r>
            </w:hyperlink>
          </w:p>
          <w:p w14:paraId="2F6E699F" w14:textId="0BB958FA" w:rsidR="000D3CCA" w:rsidRDefault="00ED7A6A">
            <w:pPr>
              <w:spacing w:before="0" w:after="0" w:line="240" w:lineRule="auto"/>
              <w:ind w:left="360"/>
              <w:jc w:val="both"/>
            </w:pPr>
            <w:r>
              <w:rPr>
                <w:rFonts w:eastAsia="Arial"/>
                <w:b/>
                <w:bCs/>
              </w:rPr>
              <w:t xml:space="preserve">Sponsor:  </w:t>
            </w:r>
            <w:r w:rsidR="009605D2">
              <w:rPr>
                <w:rFonts w:eastAsia="Arial"/>
              </w:rPr>
              <w:t>ERCOT</w:t>
            </w:r>
          </w:p>
          <w:p w14:paraId="39D6B741" w14:textId="3BD9A23D" w:rsidR="000D3CCA" w:rsidRDefault="00ED7A6A">
            <w:pPr>
              <w:spacing w:before="0" w:after="0" w:line="240" w:lineRule="auto"/>
              <w:ind w:left="360"/>
              <w:jc w:val="both"/>
            </w:pPr>
            <w:r>
              <w:rPr>
                <w:rFonts w:eastAsia="Arial"/>
                <w:b/>
                <w:bCs/>
              </w:rPr>
              <w:lastRenderedPageBreak/>
              <w:t xml:space="preserve">Revision Description:  </w:t>
            </w:r>
            <w:proofErr w:type="gramStart"/>
            <w:r>
              <w:rPr>
                <w:rFonts w:eastAsia="Arial"/>
              </w:rPr>
              <w:t xml:space="preserve">This </w:t>
            </w:r>
            <w:r w:rsidR="002A2596">
              <w:rPr>
                <w:rFonts w:eastAsia="Arial"/>
              </w:rPr>
              <w:t>RMGRR</w:t>
            </w:r>
            <w:r>
              <w:rPr>
                <w:rFonts w:eastAsia="Arial"/>
              </w:rPr>
              <w:t xml:space="preserve"> updates</w:t>
            </w:r>
            <w:proofErr w:type="gramEnd"/>
            <w:r>
              <w:rPr>
                <w:rFonts w:eastAsia="Arial"/>
              </w:rPr>
              <w:t xml:space="preserve"> references to the Profile Decision Tree in alignment with LPGRR077.</w:t>
            </w:r>
          </w:p>
          <w:p w14:paraId="63FAF50E" w14:textId="36B2F3E5" w:rsidR="009605D2" w:rsidRDefault="00ED7A6A">
            <w:pPr>
              <w:spacing w:before="0" w:after="0" w:line="240" w:lineRule="auto"/>
              <w:ind w:left="360"/>
              <w:jc w:val="both"/>
              <w:rPr>
                <w:rFonts w:eastAsia="Arial"/>
              </w:rPr>
            </w:pPr>
            <w:hyperlink r:id="rId121" w:history="1">
              <w:r>
                <w:rPr>
                  <w:rStyle w:val="Hyperlink"/>
                  <w:rFonts w:eastAsia="Arial"/>
                  <w:b/>
                  <w:bCs/>
                </w:rPr>
                <w:t>Impact Analysis</w:t>
              </w:r>
            </w:hyperlink>
            <w:r>
              <w:rPr>
                <w:rFonts w:eastAsia="Arial"/>
                <w:b/>
                <w:bCs/>
              </w:rPr>
              <w:t xml:space="preserve">:  </w:t>
            </w:r>
            <w:r w:rsidR="009605D2">
              <w:rPr>
                <w:rFonts w:eastAsia="Arial"/>
              </w:rPr>
              <w:t>No impact (</w:t>
            </w:r>
            <w:r w:rsidR="009605D2" w:rsidRPr="008E0A26">
              <w:rPr>
                <w:rFonts w:eastAsia="Arial"/>
              </w:rPr>
              <w:t xml:space="preserve">There are no additional impacts to this </w:t>
            </w:r>
            <w:r w:rsidR="009605D2">
              <w:rPr>
                <w:rFonts w:eastAsia="Arial"/>
              </w:rPr>
              <w:t>RMGRR</w:t>
            </w:r>
            <w:r w:rsidR="009605D2" w:rsidRPr="008E0A26">
              <w:rPr>
                <w:rFonts w:eastAsia="Arial"/>
              </w:rPr>
              <w:t xml:space="preserve"> beyond what was captured in the Impact</w:t>
            </w:r>
            <w:r w:rsidR="009605D2">
              <w:rPr>
                <w:rFonts w:eastAsia="Arial"/>
              </w:rPr>
              <w:t xml:space="preserve"> </w:t>
            </w:r>
            <w:r w:rsidR="009605D2" w:rsidRPr="008E0A26">
              <w:rPr>
                <w:rFonts w:eastAsia="Arial"/>
              </w:rPr>
              <w:t xml:space="preserve">Analysis for </w:t>
            </w:r>
            <w:r w:rsidR="009605D2">
              <w:rPr>
                <w:rFonts w:eastAsia="Arial"/>
              </w:rPr>
              <w:t>LPGRR077</w:t>
            </w:r>
            <w:r w:rsidR="009605D2" w:rsidRPr="008E0A26">
              <w:rPr>
                <w:rFonts w:eastAsia="Arial"/>
              </w:rPr>
              <w:t>.</w:t>
            </w:r>
            <w:r w:rsidR="009605D2">
              <w:rPr>
                <w:rFonts w:eastAsia="Arial"/>
              </w:rPr>
              <w:t>)</w:t>
            </w:r>
          </w:p>
          <w:p w14:paraId="7D40FED1" w14:textId="3D5167E3" w:rsidR="000D3CCA" w:rsidRDefault="00ED7A6A">
            <w:pPr>
              <w:spacing w:before="0" w:after="0" w:line="240" w:lineRule="auto"/>
              <w:ind w:left="360"/>
              <w:jc w:val="both"/>
            </w:pPr>
            <w:r>
              <w:rPr>
                <w:rFonts w:eastAsia="Arial"/>
                <w:b/>
                <w:bCs/>
              </w:rPr>
              <w:t xml:space="preserve">Proposed Effective Date:  </w:t>
            </w:r>
            <w:r>
              <w:rPr>
                <w:rFonts w:eastAsia="Arial"/>
              </w:rPr>
              <w:t xml:space="preserve">Upon implementation of </w:t>
            </w:r>
            <w:r w:rsidR="002A2596">
              <w:rPr>
                <w:rFonts w:eastAsia="Arial"/>
              </w:rPr>
              <w:t>LPGRR077</w:t>
            </w:r>
          </w:p>
          <w:p w14:paraId="417C9FB2" w14:textId="0A427F19" w:rsidR="000D3CCA" w:rsidRDefault="00ED7A6A">
            <w:pPr>
              <w:spacing w:before="0" w:after="0" w:line="240" w:lineRule="auto"/>
              <w:ind w:left="360"/>
              <w:jc w:val="both"/>
            </w:pPr>
            <w:hyperlink r:id="rId122" w:history="1">
              <w:r w:rsidRPr="008E0A26">
                <w:rPr>
                  <w:rStyle w:val="Hyperlink"/>
                  <w:rFonts w:eastAsia="Arial"/>
                  <w:b/>
                  <w:bCs/>
                </w:rPr>
                <w:t>TAC Report</w:t>
              </w:r>
            </w:hyperlink>
            <w:r>
              <w:rPr>
                <w:rFonts w:eastAsia="Arial"/>
                <w:b/>
                <w:bCs/>
              </w:rPr>
              <w:t xml:space="preserve">/Decision:  </w:t>
            </w:r>
            <w:r w:rsidR="008E0A26" w:rsidRPr="008E0A26">
              <w:rPr>
                <w:rFonts w:eastAsia="Arial"/>
              </w:rPr>
              <w:t>On 8/26/26, TAC voted unanimously to recommend approval of RMGRR186 as recommended by RMS in the 8/11/26 RMS Report.</w:t>
            </w:r>
          </w:p>
          <w:p w14:paraId="65074E99"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RMGRR186.</w:t>
            </w:r>
          </w:p>
          <w:p w14:paraId="645F22BD"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RMGRR186 and believes that it provides a positive market impact through process improvement by aligning the Retail Market Guide with edits proposed in LPGRR077.</w:t>
            </w:r>
          </w:p>
          <w:p w14:paraId="30C4A0BA" w14:textId="712D7B07" w:rsidR="000D3CCA" w:rsidRDefault="00ED7A6A">
            <w:pPr>
              <w:spacing w:before="0" w:after="0" w:line="240" w:lineRule="auto"/>
              <w:ind w:left="360"/>
              <w:jc w:val="both"/>
            </w:pPr>
            <w:r>
              <w:rPr>
                <w:rFonts w:eastAsia="Arial"/>
                <w:b/>
                <w:bCs/>
              </w:rPr>
              <w:t xml:space="preserve">Independent Market Monitor (IMM) Opinion:  </w:t>
            </w:r>
            <w:r w:rsidR="002A2596">
              <w:rPr>
                <w:rFonts w:eastAsia="Arial"/>
              </w:rPr>
              <w:t>IMM has no opinion on RMGRR186.</w:t>
            </w:r>
          </w:p>
          <w:p w14:paraId="6C955EE2" w14:textId="0FD4EF58" w:rsidR="000D3CCA" w:rsidRDefault="00ED7A6A" w:rsidP="008E114B">
            <w:pPr>
              <w:spacing w:before="0" w:after="0" w:line="240" w:lineRule="auto"/>
              <w:ind w:left="360"/>
              <w:jc w:val="both"/>
            </w:pPr>
            <w:hyperlink r:id="rId123" w:anchor="keydocs" w:history="1">
              <w:r>
                <w:rPr>
                  <w:rStyle w:val="Hyperlink"/>
                  <w:rFonts w:eastAsia="Arial"/>
                  <w:b/>
                  <w:bCs/>
                </w:rPr>
                <w:t>Key Documents</w:t>
              </w:r>
            </w:hyperlink>
            <w:r>
              <w:rPr>
                <w:rFonts w:eastAsia="Arial"/>
                <w:b/>
                <w:bCs/>
              </w:rPr>
              <w:t xml:space="preserve"> (including comments, ballots, reports and impact analyses)</w:t>
            </w:r>
          </w:p>
          <w:p w14:paraId="56BB3530" w14:textId="77777777" w:rsidR="000D3CCA" w:rsidRDefault="000D3CCA">
            <w:pPr>
              <w:spacing w:before="0" w:after="0" w:line="240" w:lineRule="auto"/>
            </w:pPr>
          </w:p>
          <w:p w14:paraId="66F44C46" w14:textId="3A8DD1E4" w:rsidR="000D3CCA" w:rsidRDefault="00ED7A6A">
            <w:pPr>
              <w:pStyle w:val="ListParagraph"/>
              <w:numPr>
                <w:ilvl w:val="0"/>
                <w:numId w:val="25"/>
              </w:numPr>
              <w:spacing w:before="0" w:after="0" w:line="240" w:lineRule="auto"/>
              <w:ind w:left="360"/>
              <w:contextualSpacing w:val="0"/>
              <w:jc w:val="both"/>
            </w:pPr>
            <w:hyperlink r:id="rId124" w:history="1">
              <w:r>
                <w:rPr>
                  <w:rStyle w:val="Hyperlink"/>
                  <w:rFonts w:eastAsia="Arial"/>
                  <w:b/>
                  <w:bCs/>
                  <w:i/>
                  <w:iCs/>
                </w:rPr>
                <w:t>RRGRR038, Related to NPRR1264, Creation of a New Energy Attribute Certificate Program</w:t>
              </w:r>
            </w:hyperlink>
          </w:p>
          <w:p w14:paraId="451F1177" w14:textId="5BB1C59F" w:rsidR="000D3CCA" w:rsidRDefault="00ED7A6A">
            <w:pPr>
              <w:spacing w:before="0" w:after="0" w:line="240" w:lineRule="auto"/>
              <w:ind w:left="360"/>
              <w:jc w:val="both"/>
            </w:pPr>
            <w:r>
              <w:rPr>
                <w:rFonts w:eastAsia="Arial"/>
                <w:b/>
                <w:bCs/>
              </w:rPr>
              <w:t xml:space="preserve">Sponsor:  </w:t>
            </w:r>
            <w:r w:rsidR="002A2596">
              <w:rPr>
                <w:rFonts w:eastAsia="Arial"/>
              </w:rPr>
              <w:t>TEBA, Goff Policy</w:t>
            </w:r>
          </w:p>
          <w:p w14:paraId="53EDDB9E" w14:textId="663AEFDC" w:rsidR="000D3CCA" w:rsidRDefault="00ED7A6A">
            <w:pPr>
              <w:spacing w:before="0" w:after="0" w:line="240" w:lineRule="auto"/>
              <w:ind w:left="360"/>
              <w:jc w:val="both"/>
            </w:pPr>
            <w:r>
              <w:rPr>
                <w:rFonts w:eastAsia="Arial"/>
                <w:b/>
                <w:bCs/>
              </w:rPr>
              <w:t xml:space="preserve">Revision Description:  </w:t>
            </w:r>
            <w:r>
              <w:rPr>
                <w:rFonts w:eastAsia="Arial"/>
              </w:rPr>
              <w:t xml:space="preserve">This </w:t>
            </w:r>
            <w:r w:rsidR="002A2596">
              <w:rPr>
                <w:rFonts w:eastAsia="Arial"/>
              </w:rPr>
              <w:t>RRGRR</w:t>
            </w:r>
            <w:r>
              <w:rPr>
                <w:rFonts w:eastAsia="Arial"/>
              </w:rPr>
              <w:t xml:space="preserve"> modifies what an Entity may be affected by in order to qualify to submit RRGRRs, in alignment with Protocol changes made by NPRR1264.</w:t>
            </w:r>
          </w:p>
          <w:p w14:paraId="63EE7BAB" w14:textId="53106CAD" w:rsidR="007B026E" w:rsidRDefault="00ED7A6A" w:rsidP="007B026E">
            <w:pPr>
              <w:spacing w:before="0" w:after="0" w:line="240" w:lineRule="auto"/>
              <w:ind w:left="360"/>
              <w:jc w:val="both"/>
              <w:rPr>
                <w:rFonts w:eastAsia="Arial"/>
              </w:rPr>
            </w:pPr>
            <w:hyperlink r:id="rId125" w:history="1">
              <w:r>
                <w:rPr>
                  <w:rStyle w:val="Hyperlink"/>
                  <w:rFonts w:eastAsia="Arial"/>
                  <w:b/>
                  <w:bCs/>
                </w:rPr>
                <w:t>Impact Analysis</w:t>
              </w:r>
            </w:hyperlink>
            <w:r>
              <w:rPr>
                <w:rFonts w:eastAsia="Arial"/>
                <w:b/>
                <w:bCs/>
              </w:rPr>
              <w:t xml:space="preserve">:  </w:t>
            </w:r>
            <w:r w:rsidR="007B026E">
              <w:rPr>
                <w:rFonts w:eastAsia="Arial"/>
              </w:rPr>
              <w:t>No impact (</w:t>
            </w:r>
            <w:r w:rsidR="007B026E" w:rsidRPr="008E0A26">
              <w:rPr>
                <w:rFonts w:eastAsia="Arial"/>
              </w:rPr>
              <w:t xml:space="preserve">There are no additional impacts to this </w:t>
            </w:r>
            <w:r w:rsidR="007B026E">
              <w:rPr>
                <w:rFonts w:eastAsia="Arial"/>
              </w:rPr>
              <w:t xml:space="preserve">RRGRR </w:t>
            </w:r>
            <w:r w:rsidR="007B026E" w:rsidRPr="008E0A26">
              <w:rPr>
                <w:rFonts w:eastAsia="Arial"/>
              </w:rPr>
              <w:t>beyond what was captured in the Impact</w:t>
            </w:r>
            <w:r w:rsidR="007B026E">
              <w:rPr>
                <w:rFonts w:eastAsia="Arial"/>
              </w:rPr>
              <w:t xml:space="preserve"> </w:t>
            </w:r>
            <w:r w:rsidR="007B026E" w:rsidRPr="008E0A26">
              <w:rPr>
                <w:rFonts w:eastAsia="Arial"/>
              </w:rPr>
              <w:t>Analysis for NPRR1264.</w:t>
            </w:r>
            <w:r w:rsidR="007B026E">
              <w:rPr>
                <w:rFonts w:eastAsia="Arial"/>
              </w:rPr>
              <w:t>)</w:t>
            </w:r>
          </w:p>
          <w:p w14:paraId="670F30FC" w14:textId="66D23A60" w:rsidR="000D3CCA" w:rsidRDefault="00ED7A6A">
            <w:pPr>
              <w:spacing w:before="0" w:after="0" w:line="240" w:lineRule="auto"/>
              <w:ind w:left="360"/>
              <w:jc w:val="both"/>
            </w:pPr>
            <w:r>
              <w:rPr>
                <w:rFonts w:eastAsia="Arial"/>
                <w:b/>
                <w:bCs/>
              </w:rPr>
              <w:t xml:space="preserve">Proposed Effective Date:  </w:t>
            </w:r>
            <w:r>
              <w:rPr>
                <w:rFonts w:eastAsia="Arial"/>
              </w:rPr>
              <w:t xml:space="preserve">Upon implementation of </w:t>
            </w:r>
            <w:r w:rsidR="002A2596">
              <w:rPr>
                <w:rFonts w:eastAsia="Arial"/>
              </w:rPr>
              <w:t>NPRR1264</w:t>
            </w:r>
          </w:p>
          <w:p w14:paraId="4CD725AA" w14:textId="11C466B2" w:rsidR="000D3CCA" w:rsidRDefault="00ED7A6A">
            <w:pPr>
              <w:spacing w:before="0" w:after="0" w:line="240" w:lineRule="auto"/>
              <w:ind w:left="360"/>
              <w:jc w:val="both"/>
            </w:pPr>
            <w:hyperlink r:id="rId126"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RRGRR038 as recommended by ROS in the 6/4/26 ROS Report. </w:t>
            </w:r>
          </w:p>
          <w:p w14:paraId="74CCB6BB" w14:textId="77777777" w:rsidR="000D3CCA" w:rsidRDefault="00ED7A6A">
            <w:pPr>
              <w:spacing w:before="0" w:after="0" w:line="240" w:lineRule="auto"/>
              <w:ind w:left="360"/>
              <w:jc w:val="both"/>
            </w:pPr>
            <w:r>
              <w:rPr>
                <w:rFonts w:eastAsia="Arial"/>
                <w:b/>
                <w:bCs/>
              </w:rPr>
              <w:t xml:space="preserve">ERCOT Opinion:  </w:t>
            </w:r>
            <w:r>
              <w:rPr>
                <w:rFonts w:eastAsia="Arial"/>
              </w:rPr>
              <w:t>ERCOT supports approval of RRGRR038.</w:t>
            </w:r>
          </w:p>
          <w:p w14:paraId="6C8B2B2D" w14:textId="77777777" w:rsidR="000D3CCA" w:rsidRDefault="00ED7A6A">
            <w:pPr>
              <w:spacing w:before="0" w:after="0" w:line="240" w:lineRule="auto"/>
              <w:ind w:left="360"/>
              <w:jc w:val="both"/>
            </w:pPr>
            <w:r>
              <w:rPr>
                <w:rFonts w:eastAsia="Arial"/>
                <w:b/>
                <w:bCs/>
              </w:rPr>
              <w:t xml:space="preserve">ERCOT Market Impact Statement:  </w:t>
            </w:r>
            <w:r>
              <w:rPr>
                <w:rFonts w:eastAsia="Arial"/>
              </w:rPr>
              <w:t>ERCOT Staff has reviewed RRGRR038 and believes that it provides a positive market impact by enhancing the ERCOT region’s economic competitiveness through the modification of what an Entity may be affected by in order to qualify to submit RRGRRs, in alignment with Protocol changes made by NPRR1264.</w:t>
            </w:r>
          </w:p>
          <w:p w14:paraId="3204584E" w14:textId="77777777" w:rsidR="000D3CCA" w:rsidRDefault="00ED7A6A">
            <w:pPr>
              <w:spacing w:before="0" w:after="0" w:line="240" w:lineRule="auto"/>
              <w:ind w:left="360"/>
              <w:jc w:val="both"/>
            </w:pPr>
            <w:r>
              <w:rPr>
                <w:rFonts w:eastAsia="Arial"/>
                <w:b/>
                <w:bCs/>
              </w:rPr>
              <w:t xml:space="preserve">Independent Market Monitor (IMM) Opinion:  </w:t>
            </w:r>
            <w:r>
              <w:rPr>
                <w:rFonts w:eastAsia="Arial"/>
              </w:rPr>
              <w:t>IMM has no opinion on RRGRR038.</w:t>
            </w:r>
          </w:p>
          <w:p w14:paraId="6BBC8505" w14:textId="77777777" w:rsidR="000D3CCA" w:rsidRDefault="00ED7A6A">
            <w:pPr>
              <w:spacing w:before="0" w:after="0" w:line="240" w:lineRule="auto"/>
              <w:ind w:left="360"/>
              <w:jc w:val="both"/>
              <w:rPr>
                <w:rFonts w:eastAsia="Arial"/>
                <w:b/>
                <w:bCs/>
              </w:rPr>
            </w:pPr>
            <w:hyperlink r:id="rId127" w:anchor="keydocs" w:history="1">
              <w:r>
                <w:rPr>
                  <w:rStyle w:val="Hyperlink"/>
                  <w:rFonts w:eastAsia="Arial"/>
                  <w:b/>
                  <w:bCs/>
                </w:rPr>
                <w:t>Key Documents</w:t>
              </w:r>
            </w:hyperlink>
            <w:r>
              <w:rPr>
                <w:rFonts w:eastAsia="Arial"/>
                <w:b/>
                <w:bCs/>
              </w:rPr>
              <w:t xml:space="preserve"> (including comments, ballots, reports and impact analyses)</w:t>
            </w:r>
          </w:p>
          <w:p w14:paraId="6505152D" w14:textId="77777777" w:rsidR="002A2596" w:rsidRDefault="002A2596">
            <w:pPr>
              <w:spacing w:before="0" w:after="0" w:line="240" w:lineRule="auto"/>
              <w:ind w:left="360"/>
              <w:jc w:val="both"/>
              <w:rPr>
                <w:rFonts w:eastAsia="Arial"/>
                <w:b/>
                <w:bCs/>
              </w:rPr>
            </w:pPr>
          </w:p>
          <w:p w14:paraId="4CF0FBE0" w14:textId="4180EC8E" w:rsidR="002A2596" w:rsidRDefault="002A2596" w:rsidP="002A2596">
            <w:pPr>
              <w:pStyle w:val="ListParagraph"/>
              <w:numPr>
                <w:ilvl w:val="0"/>
                <w:numId w:val="25"/>
              </w:numPr>
              <w:spacing w:before="0" w:after="0" w:line="240" w:lineRule="auto"/>
              <w:ind w:left="360"/>
              <w:contextualSpacing w:val="0"/>
              <w:jc w:val="both"/>
            </w:pPr>
            <w:hyperlink r:id="rId128" w:history="1">
              <w:r>
                <w:rPr>
                  <w:rStyle w:val="Hyperlink"/>
                  <w:rFonts w:eastAsia="Arial"/>
                  <w:b/>
                  <w:bCs/>
                  <w:i/>
                  <w:iCs/>
                </w:rPr>
                <w:t>SMOGRR031, Related to NPRR1264, Creation of a New Energy Attribute Certificate Program</w:t>
              </w:r>
            </w:hyperlink>
          </w:p>
          <w:p w14:paraId="53FBAD18" w14:textId="77777777" w:rsidR="002A2596" w:rsidRDefault="002A2596" w:rsidP="002A2596">
            <w:pPr>
              <w:spacing w:before="0" w:after="0" w:line="240" w:lineRule="auto"/>
              <w:ind w:left="360"/>
              <w:jc w:val="both"/>
            </w:pPr>
            <w:r>
              <w:rPr>
                <w:rFonts w:eastAsia="Arial"/>
                <w:b/>
                <w:bCs/>
              </w:rPr>
              <w:t xml:space="preserve">Sponsor:  </w:t>
            </w:r>
            <w:r>
              <w:rPr>
                <w:rFonts w:eastAsia="Arial"/>
              </w:rPr>
              <w:t>TEBA, Goff Policy</w:t>
            </w:r>
          </w:p>
          <w:p w14:paraId="792C610F" w14:textId="5B5A6A45" w:rsidR="002A2596" w:rsidRDefault="002A2596" w:rsidP="002A2596">
            <w:pPr>
              <w:spacing w:before="0" w:after="0" w:line="240" w:lineRule="auto"/>
              <w:ind w:left="360"/>
              <w:jc w:val="both"/>
            </w:pPr>
            <w:r>
              <w:rPr>
                <w:rFonts w:eastAsia="Arial"/>
                <w:b/>
                <w:bCs/>
              </w:rPr>
              <w:t xml:space="preserve">Revision Description:  </w:t>
            </w:r>
            <w:r>
              <w:rPr>
                <w:rFonts w:eastAsia="Arial"/>
              </w:rPr>
              <w:t>This SMOGRR modifies what an Entity may be affected by in order to qualify to submit SMOGRRs, in alignment with Protocol changes made by NPRR1264.</w:t>
            </w:r>
          </w:p>
          <w:p w14:paraId="36947981" w14:textId="77777777" w:rsidR="002A2596" w:rsidRDefault="002A2596" w:rsidP="002A2596">
            <w:pPr>
              <w:spacing w:before="0" w:after="0" w:line="240" w:lineRule="auto"/>
              <w:ind w:left="360"/>
              <w:jc w:val="both"/>
              <w:rPr>
                <w:rFonts w:eastAsia="Arial"/>
              </w:rPr>
            </w:pPr>
            <w:hyperlink r:id="rId129" w:history="1">
              <w:r>
                <w:rPr>
                  <w:rStyle w:val="Hyperlink"/>
                  <w:rFonts w:eastAsia="Arial"/>
                  <w:b/>
                  <w:bCs/>
                </w:rPr>
                <w:t>Impact Analysis</w:t>
              </w:r>
            </w:hyperlink>
            <w:r>
              <w:rPr>
                <w:rFonts w:eastAsia="Arial"/>
                <w:b/>
                <w:bCs/>
              </w:rPr>
              <w:t xml:space="preserve">:  </w:t>
            </w:r>
            <w:r>
              <w:rPr>
                <w:rFonts w:eastAsia="Arial"/>
              </w:rPr>
              <w:t>No impact (</w:t>
            </w:r>
            <w:r w:rsidRPr="008E0A26">
              <w:rPr>
                <w:rFonts w:eastAsia="Arial"/>
              </w:rPr>
              <w:t xml:space="preserve">There are no additional impacts to this </w:t>
            </w:r>
            <w:r>
              <w:rPr>
                <w:rFonts w:eastAsia="Arial"/>
              </w:rPr>
              <w:t xml:space="preserve">SMOGRR </w:t>
            </w:r>
            <w:r w:rsidRPr="008E0A26">
              <w:rPr>
                <w:rFonts w:eastAsia="Arial"/>
              </w:rPr>
              <w:t>beyond what was captured in the Impact</w:t>
            </w:r>
            <w:r>
              <w:rPr>
                <w:rFonts w:eastAsia="Arial"/>
              </w:rPr>
              <w:t xml:space="preserve"> </w:t>
            </w:r>
            <w:r w:rsidRPr="008E0A26">
              <w:rPr>
                <w:rFonts w:eastAsia="Arial"/>
              </w:rPr>
              <w:t>Analysis for NPRR1264.</w:t>
            </w:r>
            <w:r>
              <w:rPr>
                <w:rFonts w:eastAsia="Arial"/>
              </w:rPr>
              <w:t>)</w:t>
            </w:r>
          </w:p>
          <w:p w14:paraId="790629D8" w14:textId="5C3A1C7A" w:rsidR="002A2596" w:rsidRDefault="002A2596" w:rsidP="002A2596">
            <w:pPr>
              <w:spacing w:before="0" w:after="0" w:line="240" w:lineRule="auto"/>
              <w:ind w:left="360"/>
              <w:jc w:val="both"/>
            </w:pPr>
            <w:r>
              <w:rPr>
                <w:rFonts w:eastAsia="Arial"/>
                <w:b/>
                <w:bCs/>
              </w:rPr>
              <w:t xml:space="preserve">Proposed Effective Date:  </w:t>
            </w:r>
            <w:r>
              <w:rPr>
                <w:rFonts w:eastAsia="Arial"/>
              </w:rPr>
              <w:t>Upon implementation of NPRR1264</w:t>
            </w:r>
          </w:p>
          <w:p w14:paraId="7C803774" w14:textId="131E65D6" w:rsidR="002A2596" w:rsidRDefault="002A2596" w:rsidP="002A2596">
            <w:pPr>
              <w:spacing w:before="0" w:after="0" w:line="240" w:lineRule="auto"/>
              <w:ind w:left="360"/>
              <w:jc w:val="both"/>
            </w:pPr>
            <w:hyperlink r:id="rId130"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SMOGRR031 as recommended by WMS in the 6/3/26 WMS Report. </w:t>
            </w:r>
          </w:p>
          <w:p w14:paraId="5DDC643C" w14:textId="77777777" w:rsidR="002A2596" w:rsidRDefault="002A2596" w:rsidP="002A2596">
            <w:pPr>
              <w:spacing w:before="0" w:after="0" w:line="240" w:lineRule="auto"/>
              <w:ind w:left="360"/>
              <w:jc w:val="both"/>
            </w:pPr>
            <w:r>
              <w:rPr>
                <w:rFonts w:eastAsia="Arial"/>
                <w:b/>
                <w:bCs/>
              </w:rPr>
              <w:t xml:space="preserve">ERCOT Opinion:  </w:t>
            </w:r>
            <w:r>
              <w:rPr>
                <w:rFonts w:eastAsia="Arial"/>
              </w:rPr>
              <w:t>ERCOT supports approval of SMOGRR031.</w:t>
            </w:r>
          </w:p>
          <w:p w14:paraId="6AFE3ED1" w14:textId="77777777" w:rsidR="002A2596" w:rsidRDefault="002A2596" w:rsidP="002A2596">
            <w:pPr>
              <w:spacing w:before="0" w:after="0" w:line="240" w:lineRule="auto"/>
              <w:ind w:left="360"/>
              <w:jc w:val="both"/>
            </w:pPr>
            <w:r>
              <w:rPr>
                <w:rFonts w:eastAsia="Arial"/>
                <w:b/>
                <w:bCs/>
              </w:rPr>
              <w:t xml:space="preserve">ERCOT Market Impact Statement:  </w:t>
            </w:r>
            <w:r>
              <w:rPr>
                <w:rFonts w:eastAsia="Arial"/>
              </w:rPr>
              <w:t xml:space="preserve">ERCOT Staff </w:t>
            </w:r>
            <w:proofErr w:type="gramStart"/>
            <w:r>
              <w:rPr>
                <w:rFonts w:eastAsia="Arial"/>
              </w:rPr>
              <w:t>has</w:t>
            </w:r>
            <w:proofErr w:type="gramEnd"/>
            <w:r>
              <w:rPr>
                <w:rFonts w:eastAsia="Arial"/>
              </w:rPr>
              <w:t xml:space="preserve"> reviewed SMOGRR031 and believes that it provides a positive market impact by enhancing the ERCOT region’s economic competitiveness through the modification of what an Entity may be affected by in order to qualify to submit SMOGRRs, in alignment with Protocol changes made by NPRR1264.</w:t>
            </w:r>
          </w:p>
          <w:p w14:paraId="36BCBCC8" w14:textId="77777777" w:rsidR="002A2596" w:rsidRDefault="002A2596" w:rsidP="002A2596">
            <w:pPr>
              <w:spacing w:before="0" w:after="0" w:line="240" w:lineRule="auto"/>
              <w:ind w:left="360"/>
              <w:jc w:val="both"/>
            </w:pPr>
            <w:r>
              <w:rPr>
                <w:rFonts w:eastAsia="Arial"/>
                <w:b/>
                <w:bCs/>
              </w:rPr>
              <w:t xml:space="preserve">Independent Market Monitor (IMM) Opinion:  </w:t>
            </w:r>
            <w:r>
              <w:rPr>
                <w:rFonts w:eastAsia="Arial"/>
              </w:rPr>
              <w:t>IMM has no opinion on SMOGRR031.</w:t>
            </w:r>
          </w:p>
          <w:p w14:paraId="1BC4189D" w14:textId="6693460C" w:rsidR="002A2596" w:rsidRPr="002A2596" w:rsidRDefault="002A2596" w:rsidP="002A2596">
            <w:pPr>
              <w:spacing w:before="0" w:after="0" w:line="240" w:lineRule="auto"/>
              <w:ind w:left="360"/>
              <w:jc w:val="both"/>
            </w:pPr>
            <w:hyperlink r:id="rId131" w:anchor="keydocs" w:history="1">
              <w:r>
                <w:rPr>
                  <w:rStyle w:val="Hyperlink"/>
                  <w:rFonts w:eastAsia="Arial"/>
                  <w:b/>
                  <w:bCs/>
                </w:rPr>
                <w:t>Key Documents</w:t>
              </w:r>
            </w:hyperlink>
            <w:r>
              <w:rPr>
                <w:rFonts w:eastAsia="Arial"/>
                <w:b/>
                <w:bCs/>
              </w:rPr>
              <w:t xml:space="preserve"> (including comments, ballots, reports and impact analyses)</w:t>
            </w:r>
          </w:p>
          <w:p w14:paraId="3E97E810" w14:textId="77777777" w:rsidR="008E114B" w:rsidRDefault="008E114B">
            <w:pPr>
              <w:spacing w:before="0" w:after="0" w:line="240" w:lineRule="auto"/>
              <w:ind w:left="360"/>
              <w:jc w:val="both"/>
              <w:rPr>
                <w:rFonts w:eastAsia="Arial"/>
                <w:b/>
                <w:bCs/>
              </w:rPr>
            </w:pPr>
          </w:p>
          <w:p w14:paraId="51B2302C" w14:textId="77777777" w:rsidR="008E114B" w:rsidRDefault="008E114B" w:rsidP="008E114B">
            <w:pPr>
              <w:pStyle w:val="ListParagraph"/>
              <w:numPr>
                <w:ilvl w:val="0"/>
                <w:numId w:val="25"/>
              </w:numPr>
              <w:spacing w:before="0" w:after="0" w:line="240" w:lineRule="auto"/>
              <w:ind w:left="360"/>
              <w:contextualSpacing w:val="0"/>
              <w:jc w:val="both"/>
            </w:pPr>
            <w:hyperlink r:id="rId132" w:history="1">
              <w:r>
                <w:rPr>
                  <w:rStyle w:val="Hyperlink"/>
                  <w:rFonts w:eastAsia="Arial"/>
                  <w:b/>
                  <w:bCs/>
                  <w:i/>
                  <w:iCs/>
                </w:rPr>
                <w:t>VCMRR043, Related to NPRR1264, Creation of a New Energy Attribute Certificate Program</w:t>
              </w:r>
            </w:hyperlink>
          </w:p>
          <w:p w14:paraId="3BEEE1E6" w14:textId="77777777" w:rsidR="008E114B" w:rsidRDefault="008E114B" w:rsidP="008E114B">
            <w:pPr>
              <w:spacing w:before="0" w:after="0" w:line="240" w:lineRule="auto"/>
              <w:ind w:left="360"/>
              <w:jc w:val="both"/>
            </w:pPr>
            <w:r>
              <w:rPr>
                <w:rFonts w:eastAsia="Arial"/>
                <w:b/>
                <w:bCs/>
              </w:rPr>
              <w:t xml:space="preserve">Sponsor:  </w:t>
            </w:r>
            <w:r>
              <w:rPr>
                <w:rFonts w:eastAsia="Arial"/>
              </w:rPr>
              <w:t>TEBA, Goff Policy</w:t>
            </w:r>
          </w:p>
          <w:p w14:paraId="565D0D32" w14:textId="3954606C" w:rsidR="008E114B" w:rsidRDefault="008E114B" w:rsidP="008E114B">
            <w:pPr>
              <w:spacing w:before="0" w:after="0" w:line="240" w:lineRule="auto"/>
              <w:ind w:left="360"/>
              <w:jc w:val="both"/>
            </w:pPr>
            <w:r>
              <w:rPr>
                <w:rFonts w:eastAsia="Arial"/>
                <w:b/>
                <w:bCs/>
              </w:rPr>
              <w:t xml:space="preserve">Revision Description:  </w:t>
            </w:r>
            <w:r>
              <w:rPr>
                <w:rFonts w:eastAsia="Arial"/>
              </w:rPr>
              <w:t>This VCMRR modifies what an Entity may be affected by in order to qualify to submit VCMRRs, in alignment with Protocol changes made by NPRR1264.</w:t>
            </w:r>
          </w:p>
          <w:p w14:paraId="4AD00C6F" w14:textId="77777777" w:rsidR="008E114B" w:rsidRDefault="008E114B" w:rsidP="008E114B">
            <w:pPr>
              <w:spacing w:before="0" w:after="0" w:line="240" w:lineRule="auto"/>
              <w:ind w:left="360"/>
              <w:jc w:val="both"/>
              <w:rPr>
                <w:rFonts w:eastAsia="Arial"/>
              </w:rPr>
            </w:pPr>
            <w:hyperlink r:id="rId133" w:history="1">
              <w:r>
                <w:rPr>
                  <w:rStyle w:val="Hyperlink"/>
                  <w:rFonts w:eastAsia="Arial"/>
                  <w:b/>
                  <w:bCs/>
                </w:rPr>
                <w:t>Impact Analysis</w:t>
              </w:r>
            </w:hyperlink>
            <w:r>
              <w:rPr>
                <w:rFonts w:eastAsia="Arial"/>
                <w:b/>
                <w:bCs/>
              </w:rPr>
              <w:t xml:space="preserve">:  </w:t>
            </w:r>
            <w:r>
              <w:rPr>
                <w:rFonts w:eastAsia="Arial"/>
              </w:rPr>
              <w:t>No impact (</w:t>
            </w:r>
            <w:r w:rsidRPr="008E0A26">
              <w:rPr>
                <w:rFonts w:eastAsia="Arial"/>
              </w:rPr>
              <w:t xml:space="preserve">There are no additional impacts to this </w:t>
            </w:r>
            <w:r>
              <w:rPr>
                <w:rFonts w:eastAsia="Arial"/>
              </w:rPr>
              <w:t>VCMRR</w:t>
            </w:r>
            <w:r w:rsidRPr="008E0A26">
              <w:rPr>
                <w:rFonts w:eastAsia="Arial"/>
              </w:rPr>
              <w:t xml:space="preserve"> beyond what was captured in the Impact</w:t>
            </w:r>
            <w:r>
              <w:rPr>
                <w:rFonts w:eastAsia="Arial"/>
              </w:rPr>
              <w:t xml:space="preserve"> </w:t>
            </w:r>
            <w:r w:rsidRPr="008E0A26">
              <w:rPr>
                <w:rFonts w:eastAsia="Arial"/>
              </w:rPr>
              <w:t>Analysis for NPRR1264.</w:t>
            </w:r>
            <w:r>
              <w:rPr>
                <w:rFonts w:eastAsia="Arial"/>
              </w:rPr>
              <w:t>)</w:t>
            </w:r>
          </w:p>
          <w:p w14:paraId="2A79CCED" w14:textId="1A645B5B" w:rsidR="008E114B" w:rsidRDefault="008E114B" w:rsidP="008E114B">
            <w:pPr>
              <w:spacing w:before="0" w:after="0" w:line="240" w:lineRule="auto"/>
              <w:ind w:left="360"/>
              <w:jc w:val="both"/>
            </w:pPr>
            <w:r>
              <w:rPr>
                <w:rFonts w:eastAsia="Arial"/>
                <w:b/>
                <w:bCs/>
              </w:rPr>
              <w:t xml:space="preserve">Proposed Effective Date:  </w:t>
            </w:r>
            <w:r>
              <w:rPr>
                <w:rFonts w:eastAsia="Arial"/>
              </w:rPr>
              <w:t xml:space="preserve">Upon implementation of </w:t>
            </w:r>
            <w:r w:rsidR="002A2596">
              <w:rPr>
                <w:rFonts w:eastAsia="Arial"/>
              </w:rPr>
              <w:t>NPRR1264</w:t>
            </w:r>
          </w:p>
          <w:p w14:paraId="1DB76855" w14:textId="171167B6" w:rsidR="008E114B" w:rsidRDefault="008E114B" w:rsidP="008E114B">
            <w:pPr>
              <w:spacing w:before="0" w:after="0" w:line="240" w:lineRule="auto"/>
              <w:ind w:left="360"/>
              <w:jc w:val="both"/>
            </w:pPr>
            <w:hyperlink r:id="rId134" w:history="1">
              <w:r>
                <w:rPr>
                  <w:rStyle w:val="Hyperlink"/>
                  <w:rFonts w:eastAsia="Arial"/>
                  <w:b/>
                  <w:bCs/>
                </w:rPr>
                <w:t>TAC Report</w:t>
              </w:r>
            </w:hyperlink>
            <w:r>
              <w:rPr>
                <w:rFonts w:eastAsia="Arial"/>
                <w:b/>
                <w:bCs/>
              </w:rPr>
              <w:t xml:space="preserve">/Decision:  </w:t>
            </w:r>
            <w:r>
              <w:rPr>
                <w:rFonts w:eastAsia="Arial"/>
              </w:rPr>
              <w:t xml:space="preserve">On 7/29/26, TAC voted unanimously to recommend approval of VCMRR043 as recommended by WMS in the 6/3/26 WMS Report. </w:t>
            </w:r>
          </w:p>
          <w:p w14:paraId="202A3C41" w14:textId="77777777" w:rsidR="008E114B" w:rsidRDefault="008E114B" w:rsidP="008E114B">
            <w:pPr>
              <w:spacing w:before="0" w:after="0" w:line="240" w:lineRule="auto"/>
              <w:ind w:left="360"/>
              <w:jc w:val="both"/>
            </w:pPr>
            <w:r>
              <w:rPr>
                <w:rFonts w:eastAsia="Arial"/>
                <w:b/>
                <w:bCs/>
              </w:rPr>
              <w:t xml:space="preserve">ERCOT Opinion:  </w:t>
            </w:r>
            <w:r>
              <w:rPr>
                <w:rFonts w:eastAsia="Arial"/>
              </w:rPr>
              <w:t>ERCOT supports approval of VCMRR043.</w:t>
            </w:r>
          </w:p>
          <w:p w14:paraId="0F564602" w14:textId="77777777" w:rsidR="008E114B" w:rsidRDefault="008E114B" w:rsidP="008E114B">
            <w:pPr>
              <w:spacing w:before="0" w:after="0" w:line="240" w:lineRule="auto"/>
              <w:ind w:left="360"/>
              <w:jc w:val="both"/>
            </w:pPr>
            <w:r>
              <w:rPr>
                <w:rFonts w:eastAsia="Arial"/>
                <w:b/>
                <w:bCs/>
              </w:rPr>
              <w:t xml:space="preserve">ERCOT Market Impact Statement:  </w:t>
            </w:r>
            <w:r>
              <w:rPr>
                <w:rFonts w:eastAsia="Arial"/>
              </w:rPr>
              <w:t>ERCOT Staff has reviewed VCMRR043 and believes that it provides a positive market impact by enhancing the ERCOT region’s economic competitiveness through the modification of what an Entity may be affected by in order to qualify to submit VCMRRs, in alignment with Protocol changes made by NPRR1264.</w:t>
            </w:r>
          </w:p>
          <w:p w14:paraId="7BC87DA2" w14:textId="77777777" w:rsidR="008E114B" w:rsidRDefault="008E114B" w:rsidP="008E114B">
            <w:pPr>
              <w:spacing w:before="0" w:after="0" w:line="240" w:lineRule="auto"/>
              <w:ind w:left="360"/>
              <w:jc w:val="both"/>
            </w:pPr>
            <w:r>
              <w:rPr>
                <w:rFonts w:eastAsia="Arial"/>
                <w:b/>
                <w:bCs/>
              </w:rPr>
              <w:t xml:space="preserve">Independent Market Monitor (IMM) Opinion:  </w:t>
            </w:r>
            <w:r>
              <w:rPr>
                <w:rFonts w:eastAsia="Arial"/>
              </w:rPr>
              <w:t>IMM has no opinion on VCMRR043.</w:t>
            </w:r>
          </w:p>
          <w:p w14:paraId="5588B7EC" w14:textId="77777777" w:rsidR="008E114B" w:rsidRDefault="008E114B" w:rsidP="008E114B">
            <w:pPr>
              <w:spacing w:before="0" w:after="0" w:line="240" w:lineRule="auto"/>
              <w:ind w:left="360"/>
              <w:jc w:val="both"/>
            </w:pPr>
            <w:hyperlink r:id="rId135" w:anchor="keydocs" w:history="1">
              <w:r>
                <w:rPr>
                  <w:rStyle w:val="Hyperlink"/>
                  <w:rFonts w:eastAsia="Arial"/>
                  <w:b/>
                  <w:bCs/>
                </w:rPr>
                <w:t>Key Documents</w:t>
              </w:r>
            </w:hyperlink>
            <w:r>
              <w:rPr>
                <w:rFonts w:eastAsia="Arial"/>
                <w:b/>
                <w:bCs/>
              </w:rPr>
              <w:t xml:space="preserve"> (including comments, ballots, reports and impact analyses)</w:t>
            </w:r>
          </w:p>
          <w:p w14:paraId="137D8709" w14:textId="77777777" w:rsidR="008E114B" w:rsidRDefault="008E114B">
            <w:pPr>
              <w:spacing w:before="0" w:after="0" w:line="240" w:lineRule="auto"/>
              <w:ind w:left="360"/>
              <w:jc w:val="both"/>
            </w:pPr>
          </w:p>
          <w:p w14:paraId="74526DDE" w14:textId="77777777" w:rsidR="008E114B" w:rsidRDefault="008E114B">
            <w:pPr>
              <w:spacing w:before="0" w:after="0" w:line="240" w:lineRule="auto"/>
              <w:ind w:left="360"/>
              <w:jc w:val="both"/>
            </w:pPr>
          </w:p>
          <w:p w14:paraId="1FBC996A" w14:textId="77777777" w:rsidR="000D3CCA" w:rsidRDefault="000D3CCA">
            <w:pPr>
              <w:spacing w:before="0" w:after="0" w:line="240" w:lineRule="auto"/>
            </w:pPr>
          </w:p>
          <w:p w14:paraId="02BBABB6" w14:textId="77777777" w:rsidR="00D85E08" w:rsidRDefault="00D85E08">
            <w:pPr>
              <w:spacing w:before="0" w:after="0" w:line="240" w:lineRule="auto"/>
            </w:pPr>
          </w:p>
          <w:p w14:paraId="3A48051B" w14:textId="77777777" w:rsidR="00D85E08" w:rsidRDefault="00D85E08">
            <w:pPr>
              <w:spacing w:before="0" w:after="0" w:line="240" w:lineRule="auto"/>
            </w:pPr>
          </w:p>
        </w:tc>
      </w:tr>
      <w:tr w:rsidR="005526CB" w:rsidRPr="003F5BB4" w14:paraId="6FAE0520" w14:textId="77777777" w:rsidTr="00BD10ED">
        <w:trPr>
          <w:trHeight w:val="214"/>
        </w:trPr>
        <w:tc>
          <w:tcPr>
            <w:tcW w:w="9468" w:type="dxa"/>
          </w:tcPr>
          <w:p w14:paraId="1AF9D630" w14:textId="77777777" w:rsidR="005526CB" w:rsidRDefault="005526CB" w:rsidP="00ED5715">
            <w:pPr>
              <w:pStyle w:val="NormalforTable"/>
              <w:jc w:val="both"/>
            </w:pPr>
            <w:r w:rsidRPr="003F5BB4">
              <w:lastRenderedPageBreak/>
              <w:t>Key Factors Influencing Issue:</w:t>
            </w:r>
            <w:r>
              <w:t xml:space="preserve"> </w:t>
            </w:r>
          </w:p>
          <w:p w14:paraId="7D9AA89B" w14:textId="77777777" w:rsidR="00A316A0" w:rsidRDefault="00A316A0" w:rsidP="00ED5715">
            <w:pPr>
              <w:pStyle w:val="NormalforTable"/>
              <w:jc w:val="both"/>
            </w:pPr>
          </w:p>
          <w:p w14:paraId="314332DA" w14:textId="77777777" w:rsidR="000D3CCA" w:rsidRDefault="00ED7A6A">
            <w:pPr>
              <w:spacing w:before="0" w:after="0" w:line="240" w:lineRule="auto"/>
              <w:jc w:val="both"/>
              <w:rPr>
                <w:bCs/>
              </w:rPr>
            </w:pPr>
            <w:r>
              <w:rPr>
                <w:bCs/>
              </w:rPr>
              <w:t xml:space="preserve">The PRS met, discussed the issues, and submitted reports to TAC regarding NPRRs 1214, </w:t>
            </w:r>
            <w:proofErr w:type="gramStart"/>
            <w:r>
              <w:rPr>
                <w:bCs/>
              </w:rPr>
              <w:t>1286</w:t>
            </w:r>
            <w:proofErr w:type="gramEnd"/>
            <w:r>
              <w:rPr>
                <w:bCs/>
              </w:rPr>
              <w:t>, 1292, 1301, 1319, 1320, 1326, 1328, 1329, 1331, 1335, 1336, 1337, 1338, 1339, 1341, 1342, and 1344.</w:t>
            </w:r>
          </w:p>
          <w:p w14:paraId="7A02A870" w14:textId="77777777" w:rsidR="000D3CCA" w:rsidRDefault="000D3CCA">
            <w:pPr>
              <w:spacing w:before="0" w:after="0" w:line="240" w:lineRule="auto"/>
            </w:pPr>
          </w:p>
          <w:p w14:paraId="5304C952" w14:textId="216D31B6" w:rsidR="000D3CCA" w:rsidRDefault="00ED7A6A">
            <w:pPr>
              <w:spacing w:before="0" w:after="0" w:line="240" w:lineRule="auto"/>
              <w:jc w:val="both"/>
              <w:rPr>
                <w:bCs/>
              </w:rPr>
            </w:pPr>
            <w:r>
              <w:rPr>
                <w:bCs/>
              </w:rPr>
              <w:t xml:space="preserve">The ROS met, discussed the issues, and submitted reports to TAC regarding </w:t>
            </w:r>
            <w:r w:rsidR="008E114B">
              <w:rPr>
                <w:bCs/>
              </w:rPr>
              <w:t xml:space="preserve">NOGRRs 273, 286, and 287; </w:t>
            </w:r>
            <w:r>
              <w:rPr>
                <w:bCs/>
              </w:rPr>
              <w:t>PGRRs 123</w:t>
            </w:r>
            <w:r w:rsidR="002A2596">
              <w:rPr>
                <w:bCs/>
              </w:rPr>
              <w:t xml:space="preserve"> and </w:t>
            </w:r>
            <w:r>
              <w:rPr>
                <w:bCs/>
              </w:rPr>
              <w:t>128; and RRGRR038.</w:t>
            </w:r>
          </w:p>
          <w:p w14:paraId="79AC39B5" w14:textId="77777777" w:rsidR="000D3CCA" w:rsidRDefault="000D3CCA">
            <w:pPr>
              <w:spacing w:before="0" w:after="0" w:line="240" w:lineRule="auto"/>
            </w:pPr>
          </w:p>
          <w:p w14:paraId="5F2EDCAC" w14:textId="42CF914A" w:rsidR="000D3CCA" w:rsidRDefault="00ED7A6A">
            <w:pPr>
              <w:spacing w:before="0" w:after="0" w:line="240" w:lineRule="auto"/>
              <w:jc w:val="both"/>
              <w:rPr>
                <w:bCs/>
              </w:rPr>
            </w:pPr>
            <w:r>
              <w:rPr>
                <w:bCs/>
              </w:rPr>
              <w:t xml:space="preserve">The RMS met, discussed the issues, and submitted reports to TAC regarding </w:t>
            </w:r>
            <w:r w:rsidR="008E114B">
              <w:rPr>
                <w:bCs/>
              </w:rPr>
              <w:t xml:space="preserve">LPGRRs 076 and 077; and </w:t>
            </w:r>
            <w:r>
              <w:rPr>
                <w:bCs/>
              </w:rPr>
              <w:t>RMGRRs 182 and 186.</w:t>
            </w:r>
          </w:p>
          <w:p w14:paraId="23D49F82" w14:textId="77777777" w:rsidR="000D3CCA" w:rsidRDefault="000D3CCA">
            <w:pPr>
              <w:spacing w:before="0" w:after="0" w:line="240" w:lineRule="auto"/>
            </w:pPr>
          </w:p>
          <w:p w14:paraId="2EF7FCB8" w14:textId="7C4AAA29" w:rsidR="000D3CCA" w:rsidRDefault="00ED7A6A">
            <w:pPr>
              <w:spacing w:before="0" w:after="0" w:line="240" w:lineRule="auto"/>
              <w:jc w:val="both"/>
              <w:rPr>
                <w:bCs/>
              </w:rPr>
            </w:pPr>
            <w:r>
              <w:rPr>
                <w:bCs/>
              </w:rPr>
              <w:t xml:space="preserve">The WMS met, discussed the issues, and submitted reports to TAC regarding </w:t>
            </w:r>
            <w:r w:rsidR="008A4AEC">
              <w:rPr>
                <w:bCs/>
              </w:rPr>
              <w:t xml:space="preserve">COPMGRR051, </w:t>
            </w:r>
            <w:r w:rsidR="008E114B">
              <w:rPr>
                <w:bCs/>
              </w:rPr>
              <w:t>SMOGRR031</w:t>
            </w:r>
            <w:r w:rsidR="008A4AEC">
              <w:rPr>
                <w:bCs/>
              </w:rPr>
              <w:t>,</w:t>
            </w:r>
            <w:r w:rsidR="008E114B">
              <w:rPr>
                <w:bCs/>
              </w:rPr>
              <w:t xml:space="preserve"> and </w:t>
            </w:r>
            <w:r>
              <w:rPr>
                <w:bCs/>
              </w:rPr>
              <w:t>VCMRR043.</w:t>
            </w:r>
          </w:p>
          <w:p w14:paraId="7AA6E50C" w14:textId="77777777" w:rsidR="005526CB" w:rsidRPr="00342A2D" w:rsidRDefault="005526CB" w:rsidP="00ED5715">
            <w:pPr>
              <w:pStyle w:val="NormalforTable"/>
              <w:jc w:val="both"/>
              <w:rPr>
                <w:b w:val="0"/>
                <w:bCs w:val="0"/>
              </w:rPr>
            </w:pPr>
          </w:p>
        </w:tc>
      </w:tr>
      <w:tr w:rsidR="005526CB" w:rsidRPr="003F5BB4" w14:paraId="069F8151" w14:textId="77777777" w:rsidTr="00BD10ED">
        <w:trPr>
          <w:trHeight w:val="214"/>
        </w:trPr>
        <w:tc>
          <w:tcPr>
            <w:tcW w:w="9468" w:type="dxa"/>
          </w:tcPr>
          <w:p w14:paraId="0207A1ED" w14:textId="77777777" w:rsidR="005526CB" w:rsidRDefault="005526CB" w:rsidP="00ED5715">
            <w:pPr>
              <w:pStyle w:val="NormalforTable"/>
              <w:jc w:val="both"/>
            </w:pPr>
            <w:r w:rsidRPr="003F5BB4">
              <w:lastRenderedPageBreak/>
              <w:t>Conclusion/Recommendation:</w:t>
            </w:r>
            <w:r>
              <w:t xml:space="preserve"> </w:t>
            </w:r>
          </w:p>
          <w:p w14:paraId="79DBB9F7" w14:textId="77777777" w:rsidR="00A316A0" w:rsidRDefault="00A316A0" w:rsidP="00ED5715">
            <w:pPr>
              <w:pStyle w:val="NormalforTable"/>
              <w:jc w:val="both"/>
            </w:pPr>
          </w:p>
          <w:p w14:paraId="7D7A33C3" w14:textId="47ACA1F8" w:rsidR="000D3CCA" w:rsidRDefault="00ED7A6A">
            <w:pPr>
              <w:spacing w:before="0" w:after="0" w:line="240" w:lineRule="auto"/>
              <w:jc w:val="both"/>
              <w:rPr>
                <w:bCs/>
              </w:rPr>
            </w:pPr>
            <w:r>
              <w:rPr>
                <w:bCs/>
              </w:rPr>
              <w:t xml:space="preserve">As more specifically described above, TAC recommends that the Board recommend approval of NPRRs </w:t>
            </w:r>
            <w:r w:rsidR="008E114B">
              <w:rPr>
                <w:bCs/>
              </w:rPr>
              <w:t>1214, 1286, 1292, 1301, 1319, 1320, 1326, 1328, 1329, 1331, 1335, 1336, 1337, 1338, 1339, 1341, 1342, and 1344</w:t>
            </w:r>
            <w:r>
              <w:rPr>
                <w:bCs/>
              </w:rPr>
              <w:t xml:space="preserve">; </w:t>
            </w:r>
            <w:r w:rsidR="008E114B">
              <w:rPr>
                <w:bCs/>
              </w:rPr>
              <w:t xml:space="preserve">NOGRRs 273, 286, and 287; </w:t>
            </w:r>
            <w:r>
              <w:rPr>
                <w:bCs/>
              </w:rPr>
              <w:t xml:space="preserve">PGRRs 123 and 128; </w:t>
            </w:r>
            <w:r w:rsidR="008E114B">
              <w:rPr>
                <w:bCs/>
              </w:rPr>
              <w:t>RRGR</w:t>
            </w:r>
            <w:r w:rsidR="00966002">
              <w:rPr>
                <w:bCs/>
              </w:rPr>
              <w:t>R</w:t>
            </w:r>
            <w:r w:rsidR="008E114B">
              <w:rPr>
                <w:bCs/>
              </w:rPr>
              <w:t xml:space="preserve">038; LPGRRs 076 and 077; RMGRRs 182 and 186; </w:t>
            </w:r>
            <w:r w:rsidR="008A4AEC">
              <w:rPr>
                <w:bCs/>
              </w:rPr>
              <w:t xml:space="preserve">COPMGRR051; </w:t>
            </w:r>
            <w:r w:rsidR="008E114B">
              <w:rPr>
                <w:bCs/>
              </w:rPr>
              <w:t>SM</w:t>
            </w:r>
            <w:r w:rsidR="00F50CDE">
              <w:rPr>
                <w:bCs/>
              </w:rPr>
              <w:t>O</w:t>
            </w:r>
            <w:r w:rsidR="008E114B">
              <w:rPr>
                <w:bCs/>
              </w:rPr>
              <w:t>GRR031; and VCMRR043.</w:t>
            </w:r>
          </w:p>
          <w:p w14:paraId="5420BA7F" w14:textId="77777777" w:rsidR="005526CB" w:rsidRPr="00342A2D" w:rsidRDefault="005526CB" w:rsidP="00ED5715">
            <w:pPr>
              <w:pStyle w:val="NormalforTable"/>
              <w:jc w:val="both"/>
              <w:rPr>
                <w:b w:val="0"/>
                <w:bCs w:val="0"/>
              </w:rPr>
            </w:pPr>
          </w:p>
        </w:tc>
      </w:tr>
    </w:tbl>
    <w:p w14:paraId="3030B879" w14:textId="77777777" w:rsidR="005526CB" w:rsidRPr="00780658" w:rsidRDefault="005526CB" w:rsidP="005526CB"/>
    <w:p w14:paraId="5821CEB3" w14:textId="77777777" w:rsidR="003F5BB4" w:rsidRPr="003F5BB4" w:rsidRDefault="003F5BB4" w:rsidP="00342A2D">
      <w:pPr>
        <w:pStyle w:val="Heading2"/>
        <w:jc w:val="center"/>
      </w:pPr>
      <w:r w:rsidRPr="00780658">
        <w:br w:type="page"/>
      </w:r>
      <w:r w:rsidRPr="003F5BB4">
        <w:lastRenderedPageBreak/>
        <w:t>ELECTRIC RELIABILITY COUNCIL OF TEXAS, INC.</w:t>
      </w:r>
    </w:p>
    <w:p w14:paraId="24039394" w14:textId="77777777" w:rsidR="003F5BB4" w:rsidRPr="003F5BB4" w:rsidRDefault="003F5BB4" w:rsidP="00342A2D">
      <w:pPr>
        <w:pStyle w:val="Heading2"/>
        <w:jc w:val="center"/>
      </w:pPr>
      <w:r w:rsidRPr="003F5BB4">
        <w:t>BOARD OF DIRECTORS RESOLUTION</w:t>
      </w:r>
    </w:p>
    <w:p w14:paraId="3841537B" w14:textId="6361D8A6" w:rsidR="00A316A0" w:rsidRDefault="003F5BB4" w:rsidP="00ED5715">
      <w:pPr>
        <w:jc w:val="both"/>
      </w:pPr>
      <w:r w:rsidRPr="00780658">
        <w:t>WHEREAS, after due consideration of the alternatives, the Board of Directors (Board) of Electric Reliability Council of Texas, Inc. (ERCOT) deems it desirable and in the best interest of ERCOT to</w:t>
      </w:r>
      <w:r w:rsidR="00A316A0">
        <w:t xml:space="preserve"> </w:t>
      </w:r>
      <w:r w:rsidR="00A316A0" w:rsidRPr="00A316A0">
        <w:t xml:space="preserve">approve the following Nodal Protocol Revision Requests (NPRRs), </w:t>
      </w:r>
      <w:r w:rsidR="000105AF" w:rsidRPr="00787010">
        <w:t>Commercial Operations Market Guide Revision Request (COPMGRR),</w:t>
      </w:r>
      <w:r w:rsidR="000105AF">
        <w:t xml:space="preserve"> </w:t>
      </w:r>
      <w:r w:rsidR="000105AF" w:rsidRPr="00A316A0">
        <w:t>Load Profiling Guide Revision Requests (LPGRRs), Nodal Operating Guide Revision Requests (NOGRRs)</w:t>
      </w:r>
      <w:r w:rsidR="000105AF">
        <w:t xml:space="preserve">, </w:t>
      </w:r>
      <w:r w:rsidR="00A316A0" w:rsidRPr="00A316A0">
        <w:t>Planning Guide Revision Requests (PGRRs), Retail Market Guide Revision Requests (RMGRRs),</w:t>
      </w:r>
      <w:r w:rsidR="000105AF">
        <w:t xml:space="preserve"> </w:t>
      </w:r>
      <w:r w:rsidR="000105AF" w:rsidRPr="00A316A0">
        <w:t>Resource Registration Glossary Revision Request (RRGRR)</w:t>
      </w:r>
      <w:r w:rsidR="00A316A0" w:rsidRPr="00A316A0">
        <w:t xml:space="preserve">, Settlement Metering Operating Guide Revision Request (SMOGRR), and </w:t>
      </w:r>
      <w:r w:rsidR="000105AF" w:rsidRPr="00A316A0">
        <w:t>Verifiable Cost Manual Revision Request (VCMRR)</w:t>
      </w:r>
      <w:r w:rsidR="00A316A0">
        <w:t>:</w:t>
      </w:r>
    </w:p>
    <w:p w14:paraId="583C2559" w14:textId="77777777" w:rsidR="00EB5606" w:rsidRDefault="00EB5606" w:rsidP="00EB5606">
      <w:pPr>
        <w:pStyle w:val="ListParagraph"/>
        <w:numPr>
          <w:ilvl w:val="0"/>
          <w:numId w:val="25"/>
        </w:numPr>
        <w:spacing w:before="0" w:after="0" w:line="269" w:lineRule="auto"/>
        <w:contextualSpacing w:val="0"/>
        <w:jc w:val="both"/>
      </w:pPr>
      <w:r>
        <w:rPr>
          <w:rFonts w:eastAsia="Arial"/>
        </w:rPr>
        <w:t>NPRR1214, Reliability Deployment Price Adder Fix to Provide Locational Price Signals, Reduce Uplift and Risk</w:t>
      </w:r>
    </w:p>
    <w:p w14:paraId="1671A991" w14:textId="77777777" w:rsidR="00EB5606" w:rsidRDefault="00EB5606" w:rsidP="00EB5606">
      <w:pPr>
        <w:pStyle w:val="ListParagraph"/>
        <w:numPr>
          <w:ilvl w:val="0"/>
          <w:numId w:val="25"/>
        </w:numPr>
        <w:spacing w:before="0" w:after="0" w:line="269" w:lineRule="auto"/>
        <w:contextualSpacing w:val="0"/>
        <w:jc w:val="both"/>
      </w:pPr>
      <w:r>
        <w:rPr>
          <w:rFonts w:eastAsia="Arial"/>
        </w:rPr>
        <w:t>NPRR1286, Establish Multi-Value Criteria for Resiliency-Related Transmission Project Evaluation</w:t>
      </w:r>
    </w:p>
    <w:p w14:paraId="2182D82D" w14:textId="77777777" w:rsidR="00EB5606" w:rsidRDefault="00EB5606" w:rsidP="00EB5606">
      <w:pPr>
        <w:pStyle w:val="ListParagraph"/>
        <w:numPr>
          <w:ilvl w:val="0"/>
          <w:numId w:val="25"/>
        </w:numPr>
        <w:spacing w:before="0" w:after="0" w:line="269" w:lineRule="auto"/>
        <w:contextualSpacing w:val="0"/>
        <w:jc w:val="both"/>
      </w:pPr>
      <w:r>
        <w:rPr>
          <w:rFonts w:eastAsia="Arial"/>
        </w:rPr>
        <w:t>NPRR1292, Granular Product Type for CRR TOU</w:t>
      </w:r>
    </w:p>
    <w:p w14:paraId="33ABE82D" w14:textId="77777777" w:rsidR="00EB5606" w:rsidRDefault="00EB5606" w:rsidP="00EB5606">
      <w:pPr>
        <w:pStyle w:val="ListParagraph"/>
        <w:numPr>
          <w:ilvl w:val="0"/>
          <w:numId w:val="25"/>
        </w:numPr>
        <w:spacing w:before="0" w:after="0" w:line="269" w:lineRule="auto"/>
        <w:contextualSpacing w:val="0"/>
        <w:jc w:val="both"/>
      </w:pPr>
      <w:r>
        <w:rPr>
          <w:rFonts w:eastAsia="Arial"/>
        </w:rPr>
        <w:t>NPRR1301, Align Protocols to Constraint Activation Procedure</w:t>
      </w:r>
    </w:p>
    <w:p w14:paraId="64F6D82B" w14:textId="77777777" w:rsidR="00EB5606" w:rsidRDefault="00EB5606" w:rsidP="00EB5606">
      <w:pPr>
        <w:pStyle w:val="ListParagraph"/>
        <w:numPr>
          <w:ilvl w:val="0"/>
          <w:numId w:val="25"/>
        </w:numPr>
        <w:spacing w:before="0" w:after="0" w:line="269" w:lineRule="auto"/>
        <w:contextualSpacing w:val="0"/>
        <w:jc w:val="both"/>
      </w:pPr>
      <w:r>
        <w:rPr>
          <w:rFonts w:eastAsia="Arial"/>
        </w:rPr>
        <w:t>NPRR1319, Clarification to Seasonal Mothball Evaluation Process</w:t>
      </w:r>
    </w:p>
    <w:p w14:paraId="6CCFD0F2" w14:textId="77777777" w:rsidR="00EB5606" w:rsidRDefault="00EB5606" w:rsidP="00EB5606">
      <w:pPr>
        <w:pStyle w:val="ListParagraph"/>
        <w:numPr>
          <w:ilvl w:val="0"/>
          <w:numId w:val="25"/>
        </w:numPr>
        <w:spacing w:before="0" w:after="0" w:line="269" w:lineRule="auto"/>
        <w:contextualSpacing w:val="0"/>
        <w:jc w:val="both"/>
      </w:pPr>
      <w:r>
        <w:rPr>
          <w:rFonts w:eastAsia="Arial"/>
        </w:rPr>
        <w:t>NPRR1320, Reserve Margin Reporting and Miscellaneous Changes for the Report on Capacity, Demand, and Reserves in the ERCOT Region (CDR)</w:t>
      </w:r>
    </w:p>
    <w:p w14:paraId="7B8FC042" w14:textId="77777777" w:rsidR="00EB5606" w:rsidRDefault="00EB5606" w:rsidP="00EB5606">
      <w:pPr>
        <w:pStyle w:val="ListParagraph"/>
        <w:numPr>
          <w:ilvl w:val="0"/>
          <w:numId w:val="25"/>
        </w:numPr>
        <w:spacing w:before="0" w:after="0" w:line="269" w:lineRule="auto"/>
        <w:contextualSpacing w:val="0"/>
        <w:jc w:val="both"/>
      </w:pPr>
      <w:r>
        <w:rPr>
          <w:rFonts w:eastAsia="Arial"/>
        </w:rPr>
        <w:t>NPRR1326, Add Energy Storage Resource (ESR) State of Charge (SOC) Information to the Ancillary Services Capacity Monitor</w:t>
      </w:r>
    </w:p>
    <w:p w14:paraId="54CF96FE" w14:textId="77777777" w:rsidR="00EB5606" w:rsidRDefault="00EB5606" w:rsidP="00EB5606">
      <w:pPr>
        <w:pStyle w:val="ListParagraph"/>
        <w:numPr>
          <w:ilvl w:val="0"/>
          <w:numId w:val="25"/>
        </w:numPr>
        <w:spacing w:before="0" w:after="0" w:line="269" w:lineRule="auto"/>
        <w:contextualSpacing w:val="0"/>
        <w:jc w:val="both"/>
      </w:pPr>
      <w:r>
        <w:rPr>
          <w:rFonts w:eastAsia="Arial"/>
        </w:rPr>
        <w:t>NPRR1328, Establishment of Generation Firming Program</w:t>
      </w:r>
    </w:p>
    <w:p w14:paraId="3AE06138" w14:textId="77777777" w:rsidR="00EB5606" w:rsidRDefault="00EB5606" w:rsidP="00EB5606">
      <w:pPr>
        <w:pStyle w:val="ListParagraph"/>
        <w:numPr>
          <w:ilvl w:val="0"/>
          <w:numId w:val="25"/>
        </w:numPr>
        <w:spacing w:before="0" w:after="0" w:line="269" w:lineRule="auto"/>
        <w:contextualSpacing w:val="0"/>
        <w:jc w:val="both"/>
      </w:pPr>
      <w:r>
        <w:rPr>
          <w:rFonts w:eastAsia="Arial"/>
        </w:rPr>
        <w:t>NPRR1329, Resource Entity Requirements for Self-Limiting Facilities</w:t>
      </w:r>
    </w:p>
    <w:p w14:paraId="4CFE7E1B" w14:textId="77777777" w:rsidR="00EB5606" w:rsidRDefault="00EB5606" w:rsidP="00EB5606">
      <w:pPr>
        <w:pStyle w:val="ListParagraph"/>
        <w:numPr>
          <w:ilvl w:val="0"/>
          <w:numId w:val="25"/>
        </w:numPr>
        <w:spacing w:before="0" w:after="0" w:line="269" w:lineRule="auto"/>
        <w:contextualSpacing w:val="0"/>
        <w:jc w:val="both"/>
      </w:pPr>
      <w:r>
        <w:rPr>
          <w:rFonts w:eastAsia="Arial"/>
        </w:rPr>
        <w:t>NPRR1331, Unannounced Generation Capacity Testing</w:t>
      </w:r>
    </w:p>
    <w:p w14:paraId="5A38A6B3" w14:textId="77777777" w:rsidR="00EB5606" w:rsidRDefault="00EB5606" w:rsidP="00EB5606">
      <w:pPr>
        <w:pStyle w:val="ListParagraph"/>
        <w:numPr>
          <w:ilvl w:val="0"/>
          <w:numId w:val="25"/>
        </w:numPr>
        <w:spacing w:before="0" w:after="0" w:line="269" w:lineRule="auto"/>
        <w:contextualSpacing w:val="0"/>
        <w:jc w:val="both"/>
      </w:pPr>
      <w:r>
        <w:rPr>
          <w:rFonts w:eastAsia="Arial"/>
        </w:rPr>
        <w:t>NPRR1335, Implementation of PUCT Changes to Firm Fuel Supply Service for Phase 3</w:t>
      </w:r>
    </w:p>
    <w:p w14:paraId="4A601983" w14:textId="77777777" w:rsidR="00EB5606" w:rsidRDefault="00EB5606" w:rsidP="00EB5606">
      <w:pPr>
        <w:pStyle w:val="ListParagraph"/>
        <w:numPr>
          <w:ilvl w:val="0"/>
          <w:numId w:val="25"/>
        </w:numPr>
        <w:spacing w:before="0" w:after="0" w:line="269" w:lineRule="auto"/>
        <w:contextualSpacing w:val="0"/>
        <w:jc w:val="both"/>
      </w:pPr>
      <w:r>
        <w:rPr>
          <w:rFonts w:eastAsia="Arial"/>
        </w:rPr>
        <w:t>NPRR1336, Language Clean-up for NPRR1188 Implementation</w:t>
      </w:r>
    </w:p>
    <w:p w14:paraId="63BF936D" w14:textId="77777777" w:rsidR="00EB5606" w:rsidRDefault="00EB5606" w:rsidP="00EB5606">
      <w:pPr>
        <w:pStyle w:val="ListParagraph"/>
        <w:numPr>
          <w:ilvl w:val="0"/>
          <w:numId w:val="25"/>
        </w:numPr>
        <w:spacing w:before="0" w:after="0" w:line="269" w:lineRule="auto"/>
        <w:contextualSpacing w:val="0"/>
        <w:jc w:val="both"/>
      </w:pPr>
      <w:r>
        <w:rPr>
          <w:rFonts w:eastAsia="Arial"/>
        </w:rPr>
        <w:t>NPRR1337, ERS Enhancements</w:t>
      </w:r>
    </w:p>
    <w:p w14:paraId="47879876" w14:textId="77777777" w:rsidR="00EB5606" w:rsidRDefault="00EB5606" w:rsidP="00EB5606">
      <w:pPr>
        <w:pStyle w:val="ListParagraph"/>
        <w:numPr>
          <w:ilvl w:val="0"/>
          <w:numId w:val="25"/>
        </w:numPr>
        <w:spacing w:before="0" w:after="0" w:line="269" w:lineRule="auto"/>
        <w:contextualSpacing w:val="0"/>
        <w:jc w:val="both"/>
      </w:pPr>
      <w:r>
        <w:rPr>
          <w:rFonts w:eastAsia="Arial"/>
        </w:rPr>
        <w:t>NPRR1338, Restructure Long-Term Auction Sequence Auctions to Six Monthly Optimizations</w:t>
      </w:r>
    </w:p>
    <w:p w14:paraId="37F0B4DE" w14:textId="77777777" w:rsidR="00EB5606" w:rsidRDefault="00EB5606" w:rsidP="00EB5606">
      <w:pPr>
        <w:pStyle w:val="ListParagraph"/>
        <w:numPr>
          <w:ilvl w:val="0"/>
          <w:numId w:val="25"/>
        </w:numPr>
        <w:spacing w:before="0" w:after="0" w:line="269" w:lineRule="auto"/>
        <w:contextualSpacing w:val="0"/>
        <w:jc w:val="both"/>
      </w:pPr>
      <w:r>
        <w:rPr>
          <w:rFonts w:eastAsia="Arial"/>
        </w:rPr>
        <w:t>NPRR1339, Protocol Clean Up and Alignment with RTC+B Implementation</w:t>
      </w:r>
    </w:p>
    <w:p w14:paraId="285785DC" w14:textId="77777777" w:rsidR="00EB5606" w:rsidRDefault="00EB5606" w:rsidP="00EB5606">
      <w:pPr>
        <w:pStyle w:val="ListParagraph"/>
        <w:numPr>
          <w:ilvl w:val="0"/>
          <w:numId w:val="25"/>
        </w:numPr>
        <w:spacing w:before="0" w:after="0" w:line="269" w:lineRule="auto"/>
        <w:contextualSpacing w:val="0"/>
        <w:jc w:val="both"/>
      </w:pPr>
      <w:r>
        <w:rPr>
          <w:rFonts w:eastAsia="Arial"/>
        </w:rPr>
        <w:t>NPRR1341, Related to LPGRR077, Profile Decision Tree Excel-to-Word Conversion</w:t>
      </w:r>
    </w:p>
    <w:p w14:paraId="40B72143" w14:textId="6244E707" w:rsidR="00EB5606" w:rsidRDefault="00EB5606" w:rsidP="00EB5606">
      <w:pPr>
        <w:pStyle w:val="ListParagraph"/>
        <w:numPr>
          <w:ilvl w:val="0"/>
          <w:numId w:val="25"/>
        </w:numPr>
        <w:spacing w:before="0" w:after="0" w:line="269" w:lineRule="auto"/>
        <w:contextualSpacing w:val="0"/>
        <w:jc w:val="both"/>
      </w:pPr>
      <w:r>
        <w:rPr>
          <w:rFonts w:eastAsia="Arial"/>
        </w:rPr>
        <w:t>NPRR1342, Mitigated Offer Caps for Contract for Capacity Resources</w:t>
      </w:r>
      <w:r w:rsidR="00C5778E">
        <w:rPr>
          <w:rFonts w:eastAsia="Arial"/>
        </w:rPr>
        <w:t xml:space="preserve"> </w:t>
      </w:r>
      <w:r w:rsidR="00C5778E" w:rsidRPr="00C5778E">
        <w:rPr>
          <w:rFonts w:eastAsia="Arial"/>
        </w:rPr>
        <w:t>– URGENT</w:t>
      </w:r>
    </w:p>
    <w:p w14:paraId="4C83E719" w14:textId="0223BACB" w:rsidR="00EB5606" w:rsidRDefault="00EB5606" w:rsidP="00EB5606">
      <w:pPr>
        <w:pStyle w:val="ListParagraph"/>
        <w:numPr>
          <w:ilvl w:val="0"/>
          <w:numId w:val="25"/>
        </w:numPr>
        <w:spacing w:before="0" w:after="0" w:line="269" w:lineRule="auto"/>
        <w:contextualSpacing w:val="0"/>
        <w:jc w:val="both"/>
      </w:pPr>
      <w:r>
        <w:rPr>
          <w:rFonts w:eastAsia="Arial"/>
        </w:rPr>
        <w:t>NPRR1344, Move OBD to Section 19 – Texas Market Test Plan</w:t>
      </w:r>
      <w:r w:rsidR="00C5778E">
        <w:rPr>
          <w:rFonts w:eastAsia="Arial"/>
        </w:rPr>
        <w:t xml:space="preserve"> </w:t>
      </w:r>
      <w:r w:rsidR="00C5778E" w:rsidRPr="00C5778E">
        <w:rPr>
          <w:rFonts w:eastAsia="Arial"/>
        </w:rPr>
        <w:t>– URGENT</w:t>
      </w:r>
    </w:p>
    <w:p w14:paraId="4618AEF5" w14:textId="77777777" w:rsidR="000105AF" w:rsidRDefault="000105AF" w:rsidP="000105AF">
      <w:pPr>
        <w:pStyle w:val="ListParagraph"/>
        <w:numPr>
          <w:ilvl w:val="0"/>
          <w:numId w:val="25"/>
        </w:numPr>
        <w:spacing w:before="0" w:after="0" w:line="269" w:lineRule="auto"/>
        <w:contextualSpacing w:val="0"/>
        <w:jc w:val="both"/>
      </w:pPr>
      <w:r>
        <w:rPr>
          <w:rFonts w:eastAsia="Arial"/>
        </w:rPr>
        <w:t>COPMGRR051, Related to NPRR1264, Creation of a New Energy Attribute Certificate Program</w:t>
      </w:r>
    </w:p>
    <w:p w14:paraId="7B45892A" w14:textId="77777777" w:rsidR="00EB5606" w:rsidRDefault="00EB5606" w:rsidP="00EB5606">
      <w:pPr>
        <w:pStyle w:val="ListParagraph"/>
        <w:numPr>
          <w:ilvl w:val="0"/>
          <w:numId w:val="25"/>
        </w:numPr>
        <w:spacing w:before="0" w:after="0" w:line="269" w:lineRule="auto"/>
        <w:contextualSpacing w:val="0"/>
        <w:jc w:val="both"/>
      </w:pPr>
      <w:r>
        <w:rPr>
          <w:rFonts w:eastAsia="Arial"/>
        </w:rPr>
        <w:lastRenderedPageBreak/>
        <w:t>LPGRR076, Related to NPRR1264, Creation of a New Energy Attribute Certificate Program</w:t>
      </w:r>
    </w:p>
    <w:p w14:paraId="35ABFD5B" w14:textId="77777777" w:rsidR="00EB5606" w:rsidRDefault="00EB5606" w:rsidP="00EB5606">
      <w:pPr>
        <w:pStyle w:val="ListParagraph"/>
        <w:numPr>
          <w:ilvl w:val="0"/>
          <w:numId w:val="25"/>
        </w:numPr>
        <w:spacing w:before="0" w:after="0" w:line="269" w:lineRule="auto"/>
        <w:contextualSpacing w:val="0"/>
        <w:jc w:val="both"/>
      </w:pPr>
      <w:r>
        <w:rPr>
          <w:rFonts w:eastAsia="Arial"/>
        </w:rPr>
        <w:t>LPGRR077, Profile Decision Tree Excel-to-Word Conversion</w:t>
      </w:r>
    </w:p>
    <w:p w14:paraId="22235185" w14:textId="77777777" w:rsidR="00EB5606" w:rsidRDefault="00EB5606" w:rsidP="00EB5606">
      <w:pPr>
        <w:pStyle w:val="ListParagraph"/>
        <w:numPr>
          <w:ilvl w:val="0"/>
          <w:numId w:val="25"/>
        </w:numPr>
        <w:spacing w:before="0" w:after="0" w:line="269" w:lineRule="auto"/>
        <w:contextualSpacing w:val="0"/>
        <w:jc w:val="both"/>
      </w:pPr>
      <w:r>
        <w:rPr>
          <w:rFonts w:eastAsia="Arial"/>
        </w:rPr>
        <w:t>NOGRR273, Related to NPRR1264, Creation of a New Energy Attribute Certificate Program</w:t>
      </w:r>
    </w:p>
    <w:p w14:paraId="3FFB1D67" w14:textId="77777777" w:rsidR="00EB5606" w:rsidRDefault="00EB5606" w:rsidP="00EB5606">
      <w:pPr>
        <w:pStyle w:val="ListParagraph"/>
        <w:numPr>
          <w:ilvl w:val="0"/>
          <w:numId w:val="25"/>
        </w:numPr>
        <w:spacing w:before="0" w:after="0" w:line="269" w:lineRule="auto"/>
        <w:contextualSpacing w:val="0"/>
        <w:jc w:val="both"/>
      </w:pPr>
      <w:r>
        <w:rPr>
          <w:rFonts w:eastAsia="Arial"/>
        </w:rPr>
        <w:t>NOGRR286, Addition of 765-kV Operational Voltage Limits</w:t>
      </w:r>
    </w:p>
    <w:p w14:paraId="1FA3DA34" w14:textId="77777777" w:rsidR="00EB5606" w:rsidRDefault="00EB5606" w:rsidP="00EB5606">
      <w:pPr>
        <w:pStyle w:val="ListParagraph"/>
        <w:numPr>
          <w:ilvl w:val="0"/>
          <w:numId w:val="25"/>
        </w:numPr>
        <w:spacing w:before="0" w:after="0" w:line="269" w:lineRule="auto"/>
        <w:contextualSpacing w:val="0"/>
        <w:jc w:val="both"/>
      </w:pPr>
      <w:r>
        <w:rPr>
          <w:rFonts w:eastAsia="Arial"/>
        </w:rPr>
        <w:t>NOGRR287, Load Shed Provisions to Identify and Minimize Overlap of Essential Loads</w:t>
      </w:r>
    </w:p>
    <w:p w14:paraId="6BF6B1F0" w14:textId="77777777" w:rsidR="00EB5606" w:rsidRDefault="00EB5606" w:rsidP="00EB5606">
      <w:pPr>
        <w:pStyle w:val="ListParagraph"/>
        <w:numPr>
          <w:ilvl w:val="0"/>
          <w:numId w:val="25"/>
        </w:numPr>
        <w:spacing w:before="0" w:after="0" w:line="269" w:lineRule="auto"/>
        <w:contextualSpacing w:val="0"/>
        <w:jc w:val="both"/>
      </w:pPr>
      <w:r>
        <w:rPr>
          <w:rFonts w:eastAsia="Arial"/>
        </w:rPr>
        <w:t>PGRR123, Related to NPRR1264, Creation of a New Energy Attribute Certificate Program</w:t>
      </w:r>
    </w:p>
    <w:p w14:paraId="7215351A" w14:textId="77777777" w:rsidR="00EB5606" w:rsidRDefault="00EB5606" w:rsidP="00EB5606">
      <w:pPr>
        <w:pStyle w:val="ListParagraph"/>
        <w:numPr>
          <w:ilvl w:val="0"/>
          <w:numId w:val="25"/>
        </w:numPr>
        <w:spacing w:before="0" w:after="0" w:line="269" w:lineRule="auto"/>
        <w:contextualSpacing w:val="0"/>
        <w:jc w:val="both"/>
      </w:pPr>
      <w:r>
        <w:rPr>
          <w:rFonts w:eastAsia="Arial"/>
        </w:rPr>
        <w:t>PGRR128, Regional Planning Group Discussion of Grid Enhancing Technologies</w:t>
      </w:r>
    </w:p>
    <w:p w14:paraId="32A31C75" w14:textId="77777777" w:rsidR="00EB5606" w:rsidRDefault="00EB5606" w:rsidP="00EB5606">
      <w:pPr>
        <w:pStyle w:val="ListParagraph"/>
        <w:numPr>
          <w:ilvl w:val="0"/>
          <w:numId w:val="25"/>
        </w:numPr>
        <w:spacing w:before="0" w:after="0" w:line="269" w:lineRule="auto"/>
        <w:contextualSpacing w:val="0"/>
        <w:jc w:val="both"/>
      </w:pPr>
      <w:r>
        <w:rPr>
          <w:rFonts w:eastAsia="Arial"/>
        </w:rPr>
        <w:t>RMGRR182, Related to NPRR1264, Creation of a New Energy Attribute Certificate Program</w:t>
      </w:r>
    </w:p>
    <w:p w14:paraId="368791A4" w14:textId="77777777" w:rsidR="00EB5606" w:rsidRDefault="00EB5606" w:rsidP="00EB5606">
      <w:pPr>
        <w:pStyle w:val="ListParagraph"/>
        <w:numPr>
          <w:ilvl w:val="0"/>
          <w:numId w:val="25"/>
        </w:numPr>
        <w:spacing w:before="0" w:after="0" w:line="269" w:lineRule="auto"/>
        <w:contextualSpacing w:val="0"/>
        <w:jc w:val="both"/>
      </w:pPr>
      <w:r>
        <w:rPr>
          <w:rFonts w:eastAsia="Arial"/>
        </w:rPr>
        <w:t>RMGRR186, Related to LPGRR077, Profile Decision Tree Excel-to-Word Conversion</w:t>
      </w:r>
    </w:p>
    <w:p w14:paraId="09EB11F4" w14:textId="77777777" w:rsidR="00EB5606" w:rsidRDefault="00EB5606" w:rsidP="00EB5606">
      <w:pPr>
        <w:pStyle w:val="ListParagraph"/>
        <w:numPr>
          <w:ilvl w:val="0"/>
          <w:numId w:val="25"/>
        </w:numPr>
        <w:spacing w:before="0" w:after="0" w:line="269" w:lineRule="auto"/>
        <w:contextualSpacing w:val="0"/>
        <w:jc w:val="both"/>
      </w:pPr>
      <w:r>
        <w:rPr>
          <w:rFonts w:eastAsia="Arial"/>
        </w:rPr>
        <w:t>RRGRR038, Related to NPRR1264, Creation of a New Energy Attribute Certificate Program</w:t>
      </w:r>
    </w:p>
    <w:p w14:paraId="1A1C7B29" w14:textId="77777777" w:rsidR="00EB5606" w:rsidRDefault="00EB5606" w:rsidP="00EB5606">
      <w:pPr>
        <w:pStyle w:val="ListParagraph"/>
        <w:numPr>
          <w:ilvl w:val="0"/>
          <w:numId w:val="25"/>
        </w:numPr>
        <w:spacing w:before="0" w:after="0" w:line="269" w:lineRule="auto"/>
        <w:contextualSpacing w:val="0"/>
        <w:jc w:val="both"/>
      </w:pPr>
      <w:r>
        <w:rPr>
          <w:rFonts w:eastAsia="Arial"/>
        </w:rPr>
        <w:t>SMOGRR031, Related to NPRR1264, Creation of a New Energy Attribute Certificate Program</w:t>
      </w:r>
    </w:p>
    <w:p w14:paraId="51AD8C3D" w14:textId="77777777" w:rsidR="00EB5606" w:rsidRDefault="00EB5606" w:rsidP="00EB5606">
      <w:pPr>
        <w:pStyle w:val="ListParagraph"/>
        <w:numPr>
          <w:ilvl w:val="0"/>
          <w:numId w:val="25"/>
        </w:numPr>
        <w:spacing w:before="0" w:after="0" w:line="269" w:lineRule="auto"/>
        <w:contextualSpacing w:val="0"/>
        <w:jc w:val="both"/>
      </w:pPr>
      <w:r>
        <w:rPr>
          <w:rFonts w:eastAsia="Arial"/>
        </w:rPr>
        <w:t>VCMRR043, Related to NPRR1264, Creation of a New Energy Attribute Certificate Program</w:t>
      </w:r>
    </w:p>
    <w:p w14:paraId="3F566812" w14:textId="4B648BB4" w:rsidR="000D3CCA" w:rsidRDefault="00ED7A6A">
      <w:pPr>
        <w:jc w:val="both"/>
      </w:pPr>
      <w:r>
        <w:t xml:space="preserve">THEREFORE, BE IT RESOLVED, that the ERCOT Board hereby recommends approval of </w:t>
      </w:r>
      <w:r w:rsidR="00EB5606">
        <w:rPr>
          <w:bCs/>
        </w:rPr>
        <w:t>NPRRs 1214, 1286, 1292, 1301, 1319, 1320, 1326, 1328, 1329, 1331, 1335, 1336, 1337, 1338, 1339, 1341, 1342, and 1344; NOGRRs 273, 286, and 287; PGRRs 123 and 128;</w:t>
      </w:r>
      <w:r w:rsidR="00787010">
        <w:rPr>
          <w:bCs/>
        </w:rPr>
        <w:t xml:space="preserve"> COPMGRR051;</w:t>
      </w:r>
      <w:r w:rsidR="00EB5606">
        <w:rPr>
          <w:bCs/>
        </w:rPr>
        <w:t xml:space="preserve"> RRGR038; LPGRRs 076 and 077; RMGRRs 182 and 186; SMGRR031; and VCMRR043</w:t>
      </w:r>
      <w:r>
        <w:t xml:space="preserve">. </w:t>
      </w:r>
    </w:p>
    <w:p w14:paraId="70E3423E" w14:textId="77777777" w:rsidR="003F5BB4" w:rsidRPr="00780658" w:rsidRDefault="003F5BB4" w:rsidP="00342A2D"/>
    <w:p w14:paraId="59713E35" w14:textId="77777777" w:rsidR="003F5BB4" w:rsidRPr="00780658" w:rsidRDefault="003F5BB4" w:rsidP="003F5BB4">
      <w:pPr>
        <w:pStyle w:val="Heading2"/>
        <w:jc w:val="center"/>
      </w:pPr>
      <w:r w:rsidRPr="00780658">
        <w:t>CORPORATE SECRETARY’S CERTIFICATE</w:t>
      </w:r>
    </w:p>
    <w:p w14:paraId="686C507E" w14:textId="77777777" w:rsidR="003F5BB4" w:rsidRPr="00780658" w:rsidRDefault="003F5BB4" w:rsidP="00ED5715">
      <w:pPr>
        <w:jc w:val="both"/>
      </w:pPr>
      <w:r w:rsidRPr="00780658">
        <w:t xml:space="preserve">I, </w:t>
      </w:r>
      <w:r>
        <w:t>Brandon Gleason</w:t>
      </w:r>
      <w:r w:rsidRPr="00780658">
        <w:t xml:space="preserve">, </w:t>
      </w:r>
      <w:r>
        <w:t xml:space="preserve">Assistant </w:t>
      </w:r>
      <w:r w:rsidRPr="00780658">
        <w:t>Corporate Secretary of ERCOT, do hereby certify that, at its ___________ meeting, the Board passed a motion approving the above Resolution by ______.</w:t>
      </w:r>
    </w:p>
    <w:p w14:paraId="1E58D86D" w14:textId="77777777" w:rsidR="003F5BB4" w:rsidRDefault="003F5BB4" w:rsidP="00ED5715">
      <w:pPr>
        <w:jc w:val="both"/>
      </w:pPr>
      <w:r w:rsidRPr="00780658">
        <w:t>IN WITNESS WHEREOF, I have hereunto set my hand this ___ day of ______________, 20</w:t>
      </w:r>
      <w:r>
        <w:t>2</w:t>
      </w:r>
      <w:r w:rsidR="00F86DDA">
        <w:t>6</w:t>
      </w:r>
      <w:r w:rsidRPr="00780658">
        <w:t>.</w:t>
      </w:r>
    </w:p>
    <w:p w14:paraId="5173A197" w14:textId="77777777" w:rsidR="00342A2D" w:rsidRDefault="00342A2D" w:rsidP="00342A2D"/>
    <w:p w14:paraId="5C0B0F72" w14:textId="77777777" w:rsidR="003F5BB4" w:rsidRPr="00780658" w:rsidRDefault="003F5BB4" w:rsidP="00342A2D">
      <w:r w:rsidRPr="00780658">
        <w:t>______________________________</w:t>
      </w:r>
    </w:p>
    <w:p w14:paraId="2F5C7057" w14:textId="77777777" w:rsidR="003F5BB4" w:rsidRPr="00342A2D" w:rsidRDefault="003F5BB4" w:rsidP="00342A2D">
      <w:r w:rsidRPr="00342A2D">
        <w:t>Brandon Gleason</w:t>
      </w:r>
    </w:p>
    <w:p w14:paraId="635BD4FD" w14:textId="151E1BBD" w:rsidR="001437F8" w:rsidRDefault="003F5BB4" w:rsidP="00342A2D">
      <w:r w:rsidRPr="00342A2D">
        <w:lastRenderedPageBreak/>
        <w:t>Assistant Corporate Secretary</w:t>
      </w:r>
    </w:p>
    <w:sectPr w:rsidR="001437F8" w:rsidSect="005526CB">
      <w:headerReference w:type="even" r:id="rId136"/>
      <w:headerReference w:type="default" r:id="rId137"/>
      <w:footerReference w:type="even" r:id="rId138"/>
      <w:footerReference w:type="default" r:id="rId139"/>
      <w:headerReference w:type="first" r:id="rId140"/>
      <w:footerReference w:type="first" r:id="rId141"/>
      <w:pgSz w:w="12240" w:h="15840" w:code="1"/>
      <w:pgMar w:top="1290" w:right="1440" w:bottom="1670" w:left="1210" w:header="864" w:footer="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FDA56" w14:textId="77777777" w:rsidR="00661A57" w:rsidRDefault="00661A57" w:rsidP="00342A2D">
      <w:r>
        <w:separator/>
      </w:r>
    </w:p>
    <w:p w14:paraId="4027E27E" w14:textId="77777777" w:rsidR="00661A57" w:rsidRDefault="00661A57" w:rsidP="00342A2D"/>
  </w:endnote>
  <w:endnote w:type="continuationSeparator" w:id="0">
    <w:p w14:paraId="1C2747BC" w14:textId="77777777" w:rsidR="00661A57" w:rsidRDefault="00661A57" w:rsidP="00342A2D">
      <w:r>
        <w:continuationSeparator/>
      </w:r>
    </w:p>
    <w:p w14:paraId="29F7ACF2" w14:textId="77777777" w:rsidR="00661A57" w:rsidRDefault="00661A57" w:rsidP="00342A2D"/>
  </w:endnote>
  <w:endnote w:type="continuationNotice" w:id="1">
    <w:p w14:paraId="6811CF29" w14:textId="77777777" w:rsidR="00661A57" w:rsidRDefault="00661A57" w:rsidP="00342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927C1" w14:textId="77777777" w:rsidR="0033735D" w:rsidRDefault="00263694" w:rsidP="00342A2D">
    <w:r>
      <w:rPr>
        <w:rFonts w:ascii="Calibri" w:eastAsia="Calibri" w:hAnsi="Calibri" w:cs="Calibri"/>
        <w:noProof/>
        <w:color w:val="000000"/>
        <w:sz w:val="22"/>
      </w:rPr>
      <mc:AlternateContent>
        <mc:Choice Requires="wpg">
          <w:drawing>
            <wp:anchor distT="0" distB="0" distL="114300" distR="114300" simplePos="0" relativeHeight="251659776" behindDoc="0" locked="0" layoutInCell="1" allowOverlap="1" wp14:anchorId="5771D8C8" wp14:editId="45965F07">
              <wp:simplePos x="0" y="0"/>
              <wp:positionH relativeFrom="page">
                <wp:posOffset>685800</wp:posOffset>
              </wp:positionH>
              <wp:positionV relativeFrom="page">
                <wp:posOffset>8977312</wp:posOffset>
              </wp:positionV>
              <wp:extent cx="6400800" cy="9525"/>
              <wp:effectExtent l="0" t="0" r="0" b="0"/>
              <wp:wrapSquare wrapText="bothSides"/>
              <wp:docPr id="12859" name="Group 12859"/>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60" name="Shape 12860"/>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7224C2C2" id="Group 12859" o:spid="_x0000_s1026" style="position:absolute;margin-left:54pt;margin-top:706.85pt;width:7in;height:.75pt;z-index:25165977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q1oHG1QCAACuBQAADgAAAAAAAAAAAAAAAAAuAgAAZHJzL2Uyb0RvYy54bWxQSwEC&#10;LQAUAAYACAAAACEAdrIaU+AAAAAOAQAADwAAAAAAAAAAAAAAAACuBAAAZHJzL2Rvd25yZXYueG1s&#10;UEsFBgAAAAAEAAQA8wAAALsFAAAAAA==&#10;">
              <v:shape id="Shape 12860"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" path="m,l6400800,e" filled="f" strokecolor="#d0d3d5">
                <v:stroke miterlimit="83231f" joinstyle="miter"/>
                <v:path arrowok="t" textboxrect="0,0,6400800,0"/>
              </v:shape>
              <w10:wrap type="square" anchorx="page" anchory="page"/>
            </v:group>
          </w:pict>
        </mc:Fallback>
      </mc:AlternateContent>
    </w:r>
    <w:r>
      <w:rPr>
        <w:color w:val="5B6770"/>
        <w:sz w:val="18"/>
      </w:rPr>
      <w:t>ERCOT | AUGUST, 2023</w:t>
    </w:r>
    <w:r>
      <w:rPr>
        <w:color w:val="5B6770"/>
        <w:sz w:val="18"/>
      </w:rPr>
      <w:tab/>
    </w:r>
    <w:r>
      <w:rPr>
        <w:sz w:val="26"/>
      </w:rPr>
      <w:fldChar w:fldCharType="begin"/>
    </w:r>
    <w:r>
      <w:instrText xml:space="preserve"> PAGE   \* MERGEFORMAT </w:instrText>
    </w:r>
    <w:r>
      <w:rPr>
        <w:sz w:val="26"/>
      </w:rPr>
      <w:fldChar w:fldCharType="separate"/>
    </w:r>
    <w:r>
      <w:rPr>
        <w:color w:val="5B6770"/>
        <w:sz w:val="18"/>
      </w:rPr>
      <w:t>2</w:t>
    </w:r>
    <w:r>
      <w:rPr>
        <w:color w:val="5B6770"/>
        <w:sz w:val="18"/>
      </w:rPr>
      <w:fldChar w:fldCharType="end"/>
    </w:r>
  </w:p>
  <w:p w14:paraId="5196CF89" w14:textId="77777777" w:rsidR="00026346" w:rsidRDefault="00026346" w:rsidP="00342A2D"/>
  <w:p w14:paraId="21A48BFE" w14:textId="77777777" w:rsidR="00DD77B3" w:rsidRDefault="00DD77B3" w:rsidP="00342A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6D5EF" w14:textId="77777777" w:rsidR="00DA47EE" w:rsidRDefault="00046EA1" w:rsidP="00342A2D">
    <w:pPr>
      <w:pStyle w:val="FooterTextRight"/>
    </w:pPr>
    <w:r>
      <mc:AlternateContent>
        <mc:Choice Requires="wps">
          <w:drawing>
            <wp:anchor distT="0" distB="0" distL="114300" distR="114300" simplePos="0" relativeHeight="251676160" behindDoc="0" locked="0" layoutInCell="1" allowOverlap="1" wp14:anchorId="0C7B0E91" wp14:editId="22009013">
              <wp:simplePos x="0" y="0"/>
              <wp:positionH relativeFrom="column">
                <wp:posOffset>-166023</wp:posOffset>
              </wp:positionH>
              <wp:positionV relativeFrom="paragraph">
                <wp:posOffset>-43180</wp:posOffset>
              </wp:positionV>
              <wp:extent cx="2951018" cy="574964"/>
              <wp:effectExtent l="0" t="0" r="0" b="0"/>
              <wp:wrapNone/>
              <wp:docPr id="2040871837" name="Text Box 13"/>
              <wp:cNvGraphicFramePr/>
              <a:graphic xmlns:a="http://schemas.openxmlformats.org/drawingml/2006/main">
                <a:graphicData uri="http://schemas.microsoft.com/office/word/2010/wordprocessingShape">
                  <wps:wsp>
                    <wps:cNvSpPr txBox="1"/>
                    <wps:spPr>
                      <a:xfrm>
                        <a:off x="0" y="0"/>
                        <a:ext cx="2951018" cy="574964"/>
                      </a:xfrm>
                      <a:prstGeom prst="rect">
                        <a:avLst/>
                      </a:prstGeom>
                      <a:noFill/>
                      <a:ln w="6350">
                        <a:noFill/>
                      </a:ln>
                    </wps:spPr>
                    <wps:txbx>
                      <w:txbxContent>
                        <w:p w14:paraId="2194482F" w14:textId="48B70E7D" w:rsidR="00342A2D" w:rsidRDefault="00342A2D" w:rsidP="00342A2D">
                          <w:pPr>
                            <w:pStyle w:val="FooterTextLeft"/>
                          </w:pPr>
                          <w:r w:rsidRPr="00006A20">
                            <w:t xml:space="preserve">Item </w:t>
                          </w:r>
                          <w:r w:rsidR="0046777E">
                            <w:t>16.1</w:t>
                          </w:r>
                          <w:r>
                            <w:t xml:space="preserve"> </w:t>
                          </w:r>
                        </w:p>
                        <w:p w14:paraId="50A20366" w14:textId="77777777" w:rsidR="00342A2D" w:rsidRDefault="00342A2D" w:rsidP="00342A2D">
                          <w:pPr>
                            <w:pStyle w:val="FooterTextLeft"/>
                          </w:pPr>
                          <w:r w:rsidRPr="00A314C8">
                            <w:t xml:space="preserve">ERCOT </w:t>
                          </w:r>
                          <w:r>
                            <w:t>Public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7B0E91" id="_x0000_t202" coordsize="21600,21600" o:spt="202" path="m,l,21600r21600,l21600,xe">
              <v:stroke joinstyle="miter"/>
              <v:path gradientshapeok="t" o:connecttype="rect"/>
            </v:shapetype>
            <v:shape id="Text Box 13" o:spid="_x0000_s1026" type="#_x0000_t202" style="position:absolute;left:0;text-align:left;margin-left:-13.05pt;margin-top:-3.4pt;width:232.35pt;height:45.25pt;z-index:25167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" filled="f" stroked="f" strokeweight=".5pt">
              <v:textbox>
                <w:txbxContent>
                  <w:p w14:paraId="2194482F" w14:textId="48B70E7D" w:rsidR="00342A2D" w:rsidRDefault="00342A2D" w:rsidP="00342A2D">
                    <w:pPr>
                      <w:pStyle w:val="FooterTextLeft"/>
                    </w:pPr>
                    <w:r w:rsidRPr="00006A20">
                      <w:t xml:space="preserve">Item </w:t>
                    </w:r>
                    <w:r w:rsidR="0046777E">
                      <w:t>16.1</w:t>
                    </w:r>
                    <w:r>
                      <w:t xml:space="preserve"> </w:t>
                    </w:r>
                  </w:p>
                  <w:p w14:paraId="50A20366" w14:textId="77777777" w:rsidR="00342A2D" w:rsidRDefault="00342A2D" w:rsidP="00342A2D">
                    <w:pPr>
                      <w:pStyle w:val="FooterTextLeft"/>
                    </w:pPr>
                    <w:r w:rsidRPr="00A314C8">
                      <w:t xml:space="preserve">ERCOT </w:t>
                    </w:r>
                    <w:r>
                      <w:t>Public</w:t>
                    </w:r>
                  </w:p>
                </w:txbxContent>
              </v:textbox>
            </v:shape>
          </w:pict>
        </mc:Fallback>
      </mc:AlternateContent>
    </w:r>
    <w:r w:rsidR="004033FB" w:rsidRPr="00AA1F1E">
      <mc:AlternateContent>
        <mc:Choice Requires="wpg">
          <w:drawing>
            <wp:anchor distT="0" distB="0" distL="114300" distR="114300" simplePos="0" relativeHeight="251654656" behindDoc="0" locked="0" layoutInCell="1" allowOverlap="1" wp14:anchorId="34C85860" wp14:editId="024C893F">
              <wp:simplePos x="0" y="0"/>
              <wp:positionH relativeFrom="page">
                <wp:posOffset>693420</wp:posOffset>
              </wp:positionH>
              <wp:positionV relativeFrom="page">
                <wp:posOffset>9014460</wp:posOffset>
              </wp:positionV>
              <wp:extent cx="6308725" cy="79375"/>
              <wp:effectExtent l="0" t="0" r="0" b="0"/>
              <wp:wrapNone/>
              <wp:docPr id="12842" name="Group 12842"/>
              <wp:cNvGraphicFramePr/>
              <a:graphic xmlns:a="http://schemas.openxmlformats.org/drawingml/2006/main">
                <a:graphicData uri="http://schemas.microsoft.com/office/word/2010/wordprocessingGroup">
                  <wpg:wgp>
                    <wpg:cNvGrpSpPr/>
                    <wpg:grpSpPr>
                      <a:xfrm>
                        <a:off x="0" y="0"/>
                        <a:ext cx="6308725" cy="79375"/>
                        <a:chOff x="0" y="0"/>
                        <a:chExt cx="6400800" cy="9525"/>
                      </a:xfrm>
                    </wpg:grpSpPr>
                    <wps:wsp>
                      <wps:cNvPr id="12843" name="Shape 12843"/>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0D94B2B" id="Group 12842" o:spid="_x0000_s1026" style="position:absolute;margin-left:54.6pt;margin-top:709.8pt;width:496.75pt;height:6.25pt;z-index:251654656;mso-position-horizontal-relative:page;mso-position-vertical-relative:page;mso-width-relative:margin;mso-height-relative:margin"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">
              <v:shape id="Shape 12843"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" path="m,l6400800,e" filled="f" strokecolor="#d0d3d5">
                <v:stroke miterlimit="83231f" joinstyle="miter"/>
                <v:path arrowok="t" textboxrect="0,0,6400800,0"/>
              </v:shape>
              <w10:wrap anchorx="page" anchory="page"/>
            </v:group>
          </w:pict>
        </mc:Fallback>
      </mc:AlternateContent>
    </w:r>
  </w:p>
  <w:p w14:paraId="63C9FB54" w14:textId="77777777" w:rsidR="0033735D" w:rsidRDefault="00B12406" w:rsidP="00046EA1">
    <w:pPr>
      <w:pStyle w:val="FooterTextLeft"/>
      <w:tabs>
        <w:tab w:val="left" w:pos="8509"/>
      </w:tabs>
    </w:pPr>
    <w:r>
      <w:tab/>
    </w:r>
    <w:r w:rsidR="00046EA1">
      <w:tab/>
    </w:r>
    <w:r w:rsidRPr="00B12406">
      <w:fldChar w:fldCharType="begin"/>
    </w:r>
    <w:r w:rsidRPr="00B12406">
      <w:instrText xml:space="preserve"> PAGE   \* MERGEFORMAT </w:instrText>
    </w:r>
    <w:r w:rsidRPr="00B12406">
      <w:fldChar w:fldCharType="separate"/>
    </w:r>
    <w:r w:rsidRPr="00B12406">
      <w:t>2</w:t>
    </w:r>
    <w:r w:rsidRPr="00B12406">
      <w:fldChar w:fldCharType="end"/>
    </w:r>
  </w:p>
  <w:p w14:paraId="56BBA69F" w14:textId="77777777" w:rsidR="00026346" w:rsidRDefault="00026346" w:rsidP="00342A2D"/>
  <w:p w14:paraId="77F40B2F" w14:textId="77777777" w:rsidR="00DD77B3" w:rsidRDefault="00DD77B3" w:rsidP="00342A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1B744" w14:textId="77777777" w:rsidR="0033735D" w:rsidRDefault="00822900" w:rsidP="00342A2D">
    <w:pPr>
      <w:pStyle w:val="FooterTextRight"/>
    </w:pPr>
    <w:r>
      <mc:AlternateContent>
        <mc:Choice Requires="wps">
          <w:drawing>
            <wp:anchor distT="0" distB="0" distL="114300" distR="114300" simplePos="0" relativeHeight="251668992" behindDoc="0" locked="0" layoutInCell="1" allowOverlap="1" wp14:anchorId="2E7C02E2" wp14:editId="034BA50B">
              <wp:simplePos x="0" y="0"/>
              <wp:positionH relativeFrom="column">
                <wp:posOffset>-34059</wp:posOffset>
              </wp:positionH>
              <wp:positionV relativeFrom="paragraph">
                <wp:posOffset>-63558</wp:posOffset>
              </wp:positionV>
              <wp:extent cx="6352309" cy="595746"/>
              <wp:effectExtent l="0" t="0" r="0" b="0"/>
              <wp:wrapNone/>
              <wp:docPr id="1951479602" name="Text Box 12"/>
              <wp:cNvGraphicFramePr/>
              <a:graphic xmlns:a="http://schemas.openxmlformats.org/drawingml/2006/main">
                <a:graphicData uri="http://schemas.microsoft.com/office/word/2010/wordprocessingShape">
                  <wps:wsp>
                    <wps:cNvSpPr txBox="1"/>
                    <wps:spPr>
                      <a:xfrm>
                        <a:off x="0" y="0"/>
                        <a:ext cx="6352309" cy="595746"/>
                      </a:xfrm>
                      <a:prstGeom prst="rect">
                        <a:avLst/>
                      </a:prstGeom>
                      <a:noFill/>
                      <a:ln w="6350">
                        <a:noFill/>
                      </a:ln>
                    </wps:spPr>
                    <wps:txbx>
                      <w:txbxContent>
                        <w:p w14:paraId="4840EA7C"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7D708291" w14:textId="77777777" w:rsidR="00822900" w:rsidRPr="00A314C8" w:rsidRDefault="00822900" w:rsidP="00046EA1">
                          <w:pPr>
                            <w:pStyle w:val="FooterTextLeft"/>
                          </w:pPr>
                          <w:r w:rsidRPr="00A314C8">
                            <w:t xml:space="preserve">ERCOT </w:t>
                          </w:r>
                          <w:r>
                            <w:t>Public</w:t>
                          </w:r>
                        </w:p>
                        <w:p w14:paraId="604DE79D" w14:textId="77777777" w:rsidR="00822900" w:rsidRDefault="00822900" w:rsidP="0034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7C02E2" id="_x0000_t202" coordsize="21600,21600" o:spt="202" path="m,l,21600r21600,l21600,xe">
              <v:stroke joinstyle="miter"/>
              <v:path gradientshapeok="t" o:connecttype="rect"/>
            </v:shapetype>
            <v:shape id="Text Box 12" o:spid="_x0000_s1027" type="#_x0000_t202" style="position:absolute;left:0;text-align:left;margin-left:-2.7pt;margin-top:-5pt;width:500.2pt;height:46.9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" filled="f" stroked="f" strokeweight=".5pt">
              <v:textbox>
                <w:txbxContent>
                  <w:p w14:paraId="4840EA7C" w14:textId="77777777" w:rsidR="00822900" w:rsidRPr="00A314C8" w:rsidRDefault="00822900" w:rsidP="00046EA1">
                    <w:pPr>
                      <w:pStyle w:val="FooterTextLeft"/>
                    </w:pPr>
                    <w:r w:rsidRPr="00006A20">
                      <w:rPr>
                        <w:bCs/>
                      </w:rPr>
                      <w:t xml:space="preserve">Item </w:t>
                    </w:r>
                    <w:r>
                      <w:rPr>
                        <w:bCs/>
                      </w:rPr>
                      <w:t>[Number]</w:t>
                    </w:r>
                    <w:r w:rsidRPr="00A314C8">
                      <w:tab/>
                    </w:r>
                    <w:r w:rsidRPr="00822900">
                      <w:fldChar w:fldCharType="begin"/>
                    </w:r>
                    <w:r w:rsidRPr="00822900">
                      <w:instrText xml:space="preserve"> PAGE   \* MERGEFORMAT </w:instrText>
                    </w:r>
                    <w:r w:rsidRPr="00822900">
                      <w:fldChar w:fldCharType="separate"/>
                    </w:r>
                    <w:r w:rsidRPr="00822900">
                      <w:t>1</w:t>
                    </w:r>
                    <w:r w:rsidRPr="00822900">
                      <w:fldChar w:fldCharType="end"/>
                    </w:r>
                  </w:p>
                  <w:p w14:paraId="7D708291" w14:textId="77777777" w:rsidR="00822900" w:rsidRPr="00A314C8" w:rsidRDefault="00822900" w:rsidP="00046EA1">
                    <w:pPr>
                      <w:pStyle w:val="FooterTextLeft"/>
                    </w:pPr>
                    <w:r w:rsidRPr="00A314C8">
                      <w:t xml:space="preserve">ERCOT </w:t>
                    </w:r>
                    <w:r>
                      <w:t>Public</w:t>
                    </w:r>
                  </w:p>
                  <w:p w14:paraId="604DE79D" w14:textId="77777777" w:rsidR="00822900" w:rsidRDefault="00822900" w:rsidP="00342A2D"/>
                </w:txbxContent>
              </v:textbox>
            </v:shape>
          </w:pict>
        </mc:Fallback>
      </mc:AlternateContent>
    </w:r>
    <w:r w:rsidR="00263694">
      <mc:AlternateContent>
        <mc:Choice Requires="wpg">
          <w:drawing>
            <wp:anchor distT="0" distB="0" distL="114300" distR="114300" simplePos="0" relativeHeight="251664896" behindDoc="0" locked="0" layoutInCell="1" allowOverlap="1" wp14:anchorId="7EAABFA3" wp14:editId="7786BC7C">
              <wp:simplePos x="0" y="0"/>
              <wp:positionH relativeFrom="page">
                <wp:posOffset>685800</wp:posOffset>
              </wp:positionH>
              <wp:positionV relativeFrom="page">
                <wp:posOffset>8977312</wp:posOffset>
              </wp:positionV>
              <wp:extent cx="6400800" cy="9525"/>
              <wp:effectExtent l="0" t="0" r="0" b="0"/>
              <wp:wrapSquare wrapText="bothSides"/>
              <wp:docPr id="12825" name="Group 12825"/>
              <wp:cNvGraphicFramePr/>
              <a:graphic xmlns:a="http://schemas.openxmlformats.org/drawingml/2006/main">
                <a:graphicData uri="http://schemas.microsoft.com/office/word/2010/wordprocessingGroup">
                  <wpg:wgp>
                    <wpg:cNvGrpSpPr/>
                    <wpg:grpSpPr>
                      <a:xfrm>
                        <a:off x="0" y="0"/>
                        <a:ext cx="6400800" cy="9525"/>
                        <a:chOff x="0" y="0"/>
                        <a:chExt cx="6400800" cy="9525"/>
                      </a:xfrm>
                    </wpg:grpSpPr>
                    <wps:wsp>
                      <wps:cNvPr id="12826" name="Shape 12826"/>
                      <wps:cNvSpPr/>
                      <wps:spPr>
                        <a:xfrm>
                          <a:off x="0" y="0"/>
                          <a:ext cx="6400800" cy="0"/>
                        </a:xfrm>
                        <a:custGeom>
                          <a:avLst/>
                          <a:gdLst/>
                          <a:ahLst/>
                          <a:cxnLst/>
                          <a:rect l="0" t="0" r="0" b="0"/>
                          <a:pathLst>
                            <a:path w="6400800">
                              <a:moveTo>
                                <a:pt x="0" y="0"/>
                              </a:moveTo>
                              <a:lnTo>
                                <a:pt x="6400800" y="0"/>
                              </a:lnTo>
                            </a:path>
                          </a:pathLst>
                        </a:custGeom>
                        <a:ln w="9525" cap="flat">
                          <a:miter lim="127000"/>
                        </a:ln>
                      </wps:spPr>
                      <wps:style>
                        <a:lnRef idx="1">
                          <a:srgbClr val="D0D3D5"/>
                        </a:lnRef>
                        <a:fillRef idx="0">
                          <a:srgbClr val="000000">
                            <a:alpha val="0"/>
                          </a:srgbClr>
                        </a:fillRef>
                        <a:effectRef idx="0">
                          <a:scrgbClr r="0" g="0" b="0"/>
                        </a:effectRef>
                        <a:fontRef idx="none"/>
                      </wps:style>
                      <wps:bodyPr/>
                    </wps:wsp>
                  </wpg:wgp>
                </a:graphicData>
              </a:graphic>
            </wp:anchor>
          </w:drawing>
        </mc:Choice>
        <mc:Fallback>
          <w:pict>
            <v:group w14:anchorId="5F704974" id="Group 12825" o:spid="_x0000_s1026" style="position:absolute;margin-left:54pt;margin-top:706.85pt;width:7in;height:.75pt;z-index:251664896;mso-position-horizontal-relative:page;mso-position-vertical-relative:page" coordsize="6400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">
              <v:shape id="Shape 12826" o:spid="_x0000_s1027" style="position:absolute;width:64008;height:0;visibility:visible;mso-wrap-style:square;v-text-anchor:top" coordsize="64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" path="m,l6400800,e" filled="f" strokecolor="#d0d3d5">
                <v:stroke miterlimit="83231f" joinstyle="miter"/>
                <v:path arrowok="t" textboxrect="0,0,6400800,0"/>
              </v:shape>
              <w10:wrap type="square" anchorx="page" anchory="page"/>
            </v:group>
          </w:pict>
        </mc:Fallback>
      </mc:AlternateContent>
    </w:r>
    <w:r>
      <w:t xml:space="preserve"> </w:t>
    </w:r>
  </w:p>
  <w:p w14:paraId="78C05CEE" w14:textId="77777777" w:rsidR="00026346" w:rsidRDefault="00026346" w:rsidP="00342A2D"/>
  <w:p w14:paraId="06B9FD44" w14:textId="77777777" w:rsidR="00DD77B3" w:rsidRDefault="00DD77B3" w:rsidP="00342A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CE4E8" w14:textId="77777777" w:rsidR="00661A57" w:rsidRDefault="00661A57" w:rsidP="00342A2D">
      <w:r>
        <w:separator/>
      </w:r>
    </w:p>
    <w:p w14:paraId="60F675A4" w14:textId="77777777" w:rsidR="00661A57" w:rsidRDefault="00661A57" w:rsidP="00342A2D"/>
  </w:footnote>
  <w:footnote w:type="continuationSeparator" w:id="0">
    <w:p w14:paraId="68A37B13" w14:textId="77777777" w:rsidR="00661A57" w:rsidRDefault="00661A57" w:rsidP="00342A2D">
      <w:r>
        <w:continuationSeparator/>
      </w:r>
    </w:p>
    <w:p w14:paraId="62B567BC" w14:textId="77777777" w:rsidR="00661A57" w:rsidRDefault="00661A57" w:rsidP="00342A2D"/>
  </w:footnote>
  <w:footnote w:type="continuationNotice" w:id="1">
    <w:p w14:paraId="582AA84E" w14:textId="77777777" w:rsidR="00661A57" w:rsidRDefault="00661A57" w:rsidP="00342A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75E4B" w14:textId="77777777" w:rsidR="0033735D" w:rsidRDefault="0033735D" w:rsidP="00342A2D"/>
  <w:p w14:paraId="1689416F" w14:textId="77777777" w:rsidR="00026346" w:rsidRDefault="00026346" w:rsidP="00342A2D"/>
  <w:p w14:paraId="2A9FFF2A" w14:textId="77777777" w:rsidR="00DD77B3" w:rsidRDefault="00DD77B3" w:rsidP="00342A2D"/>
  <w:sdt>
    <w:sdtPr>
      <w:alias w:val="Title"/>
      <w:tag w:val=""/>
      <w:id w:val="-627546109"/>
      <w:dataBinding w:prefixMappings="xmlns:ns0='http://purl.org/dc/elements/1.1/' xmlns:ns1='http://schemas.openxmlformats.org/package/2006/metadata/core-properties' " w:xpath="/ns1:coreProperties[1]/ns0:title[1]" w:storeItemID="{6C3C8BC8-F283-45AE-878A-BAB7291924A1}"/>
      <w:text/>
    </w:sdtPr>
    <w:sdtContent>
      <w:p w14:paraId="570CBECE" w14:textId="77777777" w:rsidR="00DD77B3" w:rsidRDefault="00D808C3" w:rsidP="00342A2D">
        <w:r>
          <w:t>ERCOT Board Decision Template</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3D30F" w14:textId="77777777" w:rsidR="00046EA1" w:rsidRDefault="00046EA1" w:rsidP="00046EA1">
    <w:pPr>
      <w:pStyle w:val="Header"/>
    </w:pPr>
    <w:r>
      <w:rPr>
        <w:noProof/>
      </w:rPr>
      <w:drawing>
        <wp:anchor distT="0" distB="0" distL="114300" distR="114300" simplePos="0" relativeHeight="251678208" behindDoc="0" locked="0" layoutInCell="1" allowOverlap="1" wp14:anchorId="7B9CF387" wp14:editId="58EBDC87">
          <wp:simplePos x="0" y="0"/>
          <wp:positionH relativeFrom="column">
            <wp:posOffset>0</wp:posOffset>
          </wp:positionH>
          <wp:positionV relativeFrom="paragraph">
            <wp:posOffset>-67830</wp:posOffset>
          </wp:positionV>
          <wp:extent cx="1069686" cy="414072"/>
          <wp:effectExtent l="0" t="0" r="0" b="5080"/>
          <wp:wrapNone/>
          <wp:docPr id="1728908064"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64D2F3" w14:textId="77777777" w:rsidR="005526CB" w:rsidRDefault="005526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D431" w14:textId="77777777" w:rsidR="003F5BB4" w:rsidRDefault="003F5BB4" w:rsidP="00342A2D">
    <w:pPr>
      <w:pStyle w:val="Header"/>
    </w:pPr>
    <w:r>
      <w:rPr>
        <w:noProof/>
      </w:rPr>
      <w:drawing>
        <wp:anchor distT="0" distB="0" distL="114300" distR="114300" simplePos="0" relativeHeight="251674112" behindDoc="0" locked="0" layoutInCell="1" allowOverlap="1" wp14:anchorId="0A9A316D" wp14:editId="68AF4E35">
          <wp:simplePos x="0" y="0"/>
          <wp:positionH relativeFrom="column">
            <wp:posOffset>0</wp:posOffset>
          </wp:positionH>
          <wp:positionV relativeFrom="paragraph">
            <wp:posOffset>-67830</wp:posOffset>
          </wp:positionV>
          <wp:extent cx="1069686" cy="414072"/>
          <wp:effectExtent l="0" t="0" r="0" b="5080"/>
          <wp:wrapNone/>
          <wp:docPr id="179488463" name="Picture 10"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69686" cy="41407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765F87" w14:textId="77777777" w:rsidR="00DD77B3" w:rsidRPr="00822900" w:rsidRDefault="00DD77B3" w:rsidP="00342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71EFB"/>
    <w:multiLevelType w:val="hybridMultilevel"/>
    <w:tmpl w:val="62DADEBA"/>
    <w:lvl w:ilvl="0" w:tplc="0409000F">
      <w:start w:val="1"/>
      <w:numFmt w:val="decimal"/>
      <w:lvlText w:val="%1."/>
      <w:lvlJc w:val="left"/>
      <w:pPr>
        <w:ind w:left="883" w:hanging="360"/>
      </w:p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 w15:restartNumberingAfterBreak="0">
    <w:nsid w:val="111C06D0"/>
    <w:multiLevelType w:val="hybridMultilevel"/>
    <w:tmpl w:val="007021E8"/>
    <w:lvl w:ilvl="0" w:tplc="3220740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86001AF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F4602D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18418A0">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BFE152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7618E27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33EB54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7029D2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9D92566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2" w15:restartNumberingAfterBreak="0">
    <w:nsid w:val="135009ED"/>
    <w:multiLevelType w:val="hybridMultilevel"/>
    <w:tmpl w:val="1004DE6A"/>
    <w:lvl w:ilvl="0" w:tplc="101095E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B6FC82C6">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31E9494">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55AAAAA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E1DAE28E">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66189C">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66008D36">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6B4785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3146A5D8">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3" w15:restartNumberingAfterBreak="0">
    <w:nsid w:val="141D5937"/>
    <w:multiLevelType w:val="hybridMultilevel"/>
    <w:tmpl w:val="9DC037FA"/>
    <w:lvl w:ilvl="0" w:tplc="F8044930">
      <w:start w:val="1"/>
      <w:numFmt w:val="bullet"/>
      <w:lvlText w:val="n"/>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3A38BDE4">
      <w:start w:val="1"/>
      <w:numFmt w:val="bullet"/>
      <w:lvlText w:val="o"/>
      <w:lvlJc w:val="left"/>
      <w:pPr>
        <w:ind w:left="13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886C2CD4">
      <w:start w:val="1"/>
      <w:numFmt w:val="bullet"/>
      <w:lvlText w:val="▪"/>
      <w:lvlJc w:val="left"/>
      <w:pPr>
        <w:ind w:left="21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27069950">
      <w:start w:val="1"/>
      <w:numFmt w:val="bullet"/>
      <w:lvlText w:val="•"/>
      <w:lvlJc w:val="left"/>
      <w:pPr>
        <w:ind w:left="28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387E83D4">
      <w:start w:val="1"/>
      <w:numFmt w:val="bullet"/>
      <w:lvlText w:val="o"/>
      <w:lvlJc w:val="left"/>
      <w:pPr>
        <w:ind w:left="355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E2EAD280">
      <w:start w:val="1"/>
      <w:numFmt w:val="bullet"/>
      <w:lvlText w:val="▪"/>
      <w:lvlJc w:val="left"/>
      <w:pPr>
        <w:ind w:left="427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3A1A7A96">
      <w:start w:val="1"/>
      <w:numFmt w:val="bullet"/>
      <w:lvlText w:val="•"/>
      <w:lvlJc w:val="left"/>
      <w:pPr>
        <w:ind w:left="499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4FE0C414">
      <w:start w:val="1"/>
      <w:numFmt w:val="bullet"/>
      <w:lvlText w:val="o"/>
      <w:lvlJc w:val="left"/>
      <w:pPr>
        <w:ind w:left="571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E8D2448C">
      <w:start w:val="1"/>
      <w:numFmt w:val="bullet"/>
      <w:lvlText w:val="▪"/>
      <w:lvlJc w:val="left"/>
      <w:pPr>
        <w:ind w:left="6430"/>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4" w15:restartNumberingAfterBreak="0">
    <w:nsid w:val="18F05A23"/>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5" w15:restartNumberingAfterBreak="0">
    <w:nsid w:val="1AB82BA4"/>
    <w:multiLevelType w:val="hybridMultilevel"/>
    <w:tmpl w:val="D7C8915C"/>
    <w:lvl w:ilvl="0" w:tplc="0409000F">
      <w:start w:val="1"/>
      <w:numFmt w:val="decimal"/>
      <w:lvlText w:val="%1."/>
      <w:lvlJc w:val="left"/>
      <w:pPr>
        <w:ind w:left="730" w:hanging="360"/>
      </w:p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6" w15:restartNumberingAfterBreak="0">
    <w:nsid w:val="205D4EB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7" w15:restartNumberingAfterBreak="0">
    <w:nsid w:val="26251B56"/>
    <w:multiLevelType w:val="hybridMultilevel"/>
    <w:tmpl w:val="C852643C"/>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8" w15:restartNumberingAfterBreak="0">
    <w:nsid w:val="345021E1"/>
    <w:multiLevelType w:val="hybridMultilevel"/>
    <w:tmpl w:val="E8DCBC56"/>
    <w:lvl w:ilvl="0" w:tplc="C1044A04">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C2EA628">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E2AEED0E">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BEB496D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C66A822">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8FF8936A">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BA584D3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1CBC9A04">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261C7352">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9" w15:restartNumberingAfterBreak="0">
    <w:nsid w:val="34C5258F"/>
    <w:multiLevelType w:val="hybridMultilevel"/>
    <w:tmpl w:val="5F80287A"/>
    <w:lvl w:ilvl="0" w:tplc="B7CA783C">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B">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3E766FDE"/>
    <w:multiLevelType w:val="hybridMultilevel"/>
    <w:tmpl w:val="ADFAFDEE"/>
    <w:lvl w:ilvl="0" w:tplc="3FE0F260">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DB0881DE">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A02AF380">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F96A1D44">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26E6A3B0">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2C6C7B94">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7A18845A">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D0D033D2">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466869F6">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1" w15:restartNumberingAfterBreak="0">
    <w:nsid w:val="42FC076E"/>
    <w:multiLevelType w:val="hybridMultilevel"/>
    <w:tmpl w:val="6A327CF0"/>
    <w:lvl w:ilvl="0" w:tplc="8A988372">
      <w:start w:val="1"/>
      <w:numFmt w:val="bullet"/>
      <w:lvlText w:val="●"/>
      <w:lvlJc w:val="left"/>
      <w:pPr>
        <w:ind w:left="720" w:hanging="360"/>
      </w:pPr>
    </w:lvl>
    <w:lvl w:ilvl="1" w:tplc="29A61104">
      <w:start w:val="1"/>
      <w:numFmt w:val="bullet"/>
      <w:lvlText w:val="○"/>
      <w:lvlJc w:val="left"/>
      <w:pPr>
        <w:ind w:left="1440" w:hanging="360"/>
      </w:pPr>
    </w:lvl>
    <w:lvl w:ilvl="2" w:tplc="3170011E">
      <w:start w:val="1"/>
      <w:numFmt w:val="bullet"/>
      <w:lvlText w:val="■"/>
      <w:lvlJc w:val="left"/>
      <w:pPr>
        <w:ind w:left="2160" w:hanging="360"/>
      </w:pPr>
    </w:lvl>
    <w:lvl w:ilvl="3" w:tplc="43EE8204">
      <w:start w:val="1"/>
      <w:numFmt w:val="bullet"/>
      <w:lvlText w:val="●"/>
      <w:lvlJc w:val="left"/>
      <w:pPr>
        <w:ind w:left="2880" w:hanging="360"/>
      </w:pPr>
    </w:lvl>
    <w:lvl w:ilvl="4" w:tplc="7144976C">
      <w:start w:val="1"/>
      <w:numFmt w:val="bullet"/>
      <w:lvlText w:val="○"/>
      <w:lvlJc w:val="left"/>
      <w:pPr>
        <w:ind w:left="3600" w:hanging="360"/>
      </w:pPr>
    </w:lvl>
    <w:lvl w:ilvl="5" w:tplc="B63233FE">
      <w:start w:val="1"/>
      <w:numFmt w:val="bullet"/>
      <w:lvlText w:val="■"/>
      <w:lvlJc w:val="left"/>
      <w:pPr>
        <w:ind w:left="4320" w:hanging="360"/>
      </w:pPr>
    </w:lvl>
    <w:lvl w:ilvl="6" w:tplc="E45079F6">
      <w:start w:val="1"/>
      <w:numFmt w:val="bullet"/>
      <w:lvlText w:val="●"/>
      <w:lvlJc w:val="left"/>
      <w:pPr>
        <w:ind w:left="5040" w:hanging="360"/>
      </w:pPr>
    </w:lvl>
    <w:lvl w:ilvl="7" w:tplc="2F74D836">
      <w:start w:val="1"/>
      <w:numFmt w:val="bullet"/>
      <w:lvlText w:val="●"/>
      <w:lvlJc w:val="left"/>
      <w:pPr>
        <w:ind w:left="5760" w:hanging="360"/>
      </w:pPr>
    </w:lvl>
    <w:lvl w:ilvl="8" w:tplc="2FF06820">
      <w:start w:val="1"/>
      <w:numFmt w:val="bullet"/>
      <w:lvlText w:val="●"/>
      <w:lvlJc w:val="left"/>
      <w:pPr>
        <w:ind w:left="6480" w:hanging="360"/>
      </w:pPr>
    </w:lvl>
  </w:abstractNum>
  <w:abstractNum w:abstractNumId="12" w15:restartNumberingAfterBreak="0">
    <w:nsid w:val="448156C1"/>
    <w:multiLevelType w:val="hybridMultilevel"/>
    <w:tmpl w:val="01266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0EAD"/>
    <w:multiLevelType w:val="hybridMultilevel"/>
    <w:tmpl w:val="655E3690"/>
    <w:lvl w:ilvl="0" w:tplc="7F9E44F6">
      <w:start w:val="1"/>
      <w:numFmt w:val="decimal"/>
      <w:lvlText w:val="%1."/>
      <w:lvlJc w:val="left"/>
      <w:pPr>
        <w:ind w:left="53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0122C6EC">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C8AC1B18">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CF14E58A">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9D22B058">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A6A23856">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89645088">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C3E01166">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FDBE15AA">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abstractNum w:abstractNumId="14" w15:restartNumberingAfterBreak="0">
    <w:nsid w:val="47124462"/>
    <w:multiLevelType w:val="hybridMultilevel"/>
    <w:tmpl w:val="8E4A0E6E"/>
    <w:lvl w:ilvl="0" w:tplc="0409000F">
      <w:start w:val="1"/>
      <w:numFmt w:val="decimal"/>
      <w:lvlText w:val="%1."/>
      <w:lvlJc w:val="left"/>
      <w:pPr>
        <w:ind w:left="4608" w:hanging="360"/>
      </w:pPr>
      <w:rPr>
        <w:rFonts w:hint="default"/>
      </w:rPr>
    </w:lvl>
    <w:lvl w:ilvl="1" w:tplc="FFFFFFFF" w:tentative="1">
      <w:start w:val="1"/>
      <w:numFmt w:val="bullet"/>
      <w:lvlText w:val="o"/>
      <w:lvlJc w:val="left"/>
      <w:pPr>
        <w:ind w:left="5328" w:hanging="360"/>
      </w:pPr>
      <w:rPr>
        <w:rFonts w:ascii="Courier New" w:hAnsi="Courier New" w:cs="Courier New" w:hint="default"/>
      </w:rPr>
    </w:lvl>
    <w:lvl w:ilvl="2" w:tplc="FFFFFFFF" w:tentative="1">
      <w:start w:val="1"/>
      <w:numFmt w:val="bullet"/>
      <w:lvlText w:val=""/>
      <w:lvlJc w:val="left"/>
      <w:pPr>
        <w:ind w:left="6048" w:hanging="360"/>
      </w:pPr>
      <w:rPr>
        <w:rFonts w:ascii="Wingdings" w:hAnsi="Wingdings" w:hint="default"/>
      </w:rPr>
    </w:lvl>
    <w:lvl w:ilvl="3" w:tplc="FFFFFFFF" w:tentative="1">
      <w:start w:val="1"/>
      <w:numFmt w:val="bullet"/>
      <w:lvlText w:val=""/>
      <w:lvlJc w:val="left"/>
      <w:pPr>
        <w:ind w:left="6768" w:hanging="360"/>
      </w:pPr>
      <w:rPr>
        <w:rFonts w:ascii="Symbol" w:hAnsi="Symbol" w:hint="default"/>
      </w:rPr>
    </w:lvl>
    <w:lvl w:ilvl="4" w:tplc="FFFFFFFF" w:tentative="1">
      <w:start w:val="1"/>
      <w:numFmt w:val="bullet"/>
      <w:lvlText w:val="o"/>
      <w:lvlJc w:val="left"/>
      <w:pPr>
        <w:ind w:left="7488" w:hanging="360"/>
      </w:pPr>
      <w:rPr>
        <w:rFonts w:ascii="Courier New" w:hAnsi="Courier New" w:cs="Courier New" w:hint="default"/>
      </w:rPr>
    </w:lvl>
    <w:lvl w:ilvl="5" w:tplc="FFFFFFFF" w:tentative="1">
      <w:start w:val="1"/>
      <w:numFmt w:val="bullet"/>
      <w:lvlText w:val=""/>
      <w:lvlJc w:val="left"/>
      <w:pPr>
        <w:ind w:left="8208" w:hanging="360"/>
      </w:pPr>
      <w:rPr>
        <w:rFonts w:ascii="Wingdings" w:hAnsi="Wingdings" w:hint="default"/>
      </w:rPr>
    </w:lvl>
    <w:lvl w:ilvl="6" w:tplc="FFFFFFFF" w:tentative="1">
      <w:start w:val="1"/>
      <w:numFmt w:val="bullet"/>
      <w:lvlText w:val=""/>
      <w:lvlJc w:val="left"/>
      <w:pPr>
        <w:ind w:left="8928" w:hanging="360"/>
      </w:pPr>
      <w:rPr>
        <w:rFonts w:ascii="Symbol" w:hAnsi="Symbol" w:hint="default"/>
      </w:rPr>
    </w:lvl>
    <w:lvl w:ilvl="7" w:tplc="FFFFFFFF" w:tentative="1">
      <w:start w:val="1"/>
      <w:numFmt w:val="bullet"/>
      <w:lvlText w:val="o"/>
      <w:lvlJc w:val="left"/>
      <w:pPr>
        <w:ind w:left="9648" w:hanging="360"/>
      </w:pPr>
      <w:rPr>
        <w:rFonts w:ascii="Courier New" w:hAnsi="Courier New" w:cs="Courier New" w:hint="default"/>
      </w:rPr>
    </w:lvl>
    <w:lvl w:ilvl="8" w:tplc="FFFFFFFF" w:tentative="1">
      <w:start w:val="1"/>
      <w:numFmt w:val="bullet"/>
      <w:lvlText w:val=""/>
      <w:lvlJc w:val="left"/>
      <w:pPr>
        <w:ind w:left="10368" w:hanging="360"/>
      </w:pPr>
      <w:rPr>
        <w:rFonts w:ascii="Wingdings" w:hAnsi="Wingdings" w:hint="default"/>
      </w:rPr>
    </w:lvl>
  </w:abstractNum>
  <w:abstractNum w:abstractNumId="15" w15:restartNumberingAfterBreak="0">
    <w:nsid w:val="4A961E35"/>
    <w:multiLevelType w:val="hybridMultilevel"/>
    <w:tmpl w:val="2BEA1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F85081"/>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571D2A5D"/>
    <w:multiLevelType w:val="hybridMultilevel"/>
    <w:tmpl w:val="FAE49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61F50"/>
    <w:multiLevelType w:val="hybridMultilevel"/>
    <w:tmpl w:val="D91EFDF8"/>
    <w:lvl w:ilvl="0" w:tplc="04090001">
      <w:start w:val="1"/>
      <w:numFmt w:val="bullet"/>
      <w:lvlText w:val=""/>
      <w:lvlJc w:val="left"/>
      <w:pPr>
        <w:ind w:left="4608" w:hanging="360"/>
      </w:pPr>
      <w:rPr>
        <w:rFonts w:ascii="Symbol" w:hAnsi="Symbol" w:hint="default"/>
      </w:rPr>
    </w:lvl>
    <w:lvl w:ilvl="1" w:tplc="04090003" w:tentative="1">
      <w:start w:val="1"/>
      <w:numFmt w:val="bullet"/>
      <w:lvlText w:val="o"/>
      <w:lvlJc w:val="left"/>
      <w:pPr>
        <w:ind w:left="5328" w:hanging="360"/>
      </w:pPr>
      <w:rPr>
        <w:rFonts w:ascii="Courier New" w:hAnsi="Courier New" w:cs="Courier New" w:hint="default"/>
      </w:rPr>
    </w:lvl>
    <w:lvl w:ilvl="2" w:tplc="04090005" w:tentative="1">
      <w:start w:val="1"/>
      <w:numFmt w:val="bullet"/>
      <w:lvlText w:val=""/>
      <w:lvlJc w:val="left"/>
      <w:pPr>
        <w:ind w:left="6048" w:hanging="360"/>
      </w:pPr>
      <w:rPr>
        <w:rFonts w:ascii="Wingdings" w:hAnsi="Wingdings" w:hint="default"/>
      </w:rPr>
    </w:lvl>
    <w:lvl w:ilvl="3" w:tplc="04090001" w:tentative="1">
      <w:start w:val="1"/>
      <w:numFmt w:val="bullet"/>
      <w:lvlText w:val=""/>
      <w:lvlJc w:val="left"/>
      <w:pPr>
        <w:ind w:left="6768" w:hanging="360"/>
      </w:pPr>
      <w:rPr>
        <w:rFonts w:ascii="Symbol" w:hAnsi="Symbol" w:hint="default"/>
      </w:rPr>
    </w:lvl>
    <w:lvl w:ilvl="4" w:tplc="04090003" w:tentative="1">
      <w:start w:val="1"/>
      <w:numFmt w:val="bullet"/>
      <w:lvlText w:val="o"/>
      <w:lvlJc w:val="left"/>
      <w:pPr>
        <w:ind w:left="7488" w:hanging="360"/>
      </w:pPr>
      <w:rPr>
        <w:rFonts w:ascii="Courier New" w:hAnsi="Courier New" w:cs="Courier New" w:hint="default"/>
      </w:rPr>
    </w:lvl>
    <w:lvl w:ilvl="5" w:tplc="04090005" w:tentative="1">
      <w:start w:val="1"/>
      <w:numFmt w:val="bullet"/>
      <w:lvlText w:val=""/>
      <w:lvlJc w:val="left"/>
      <w:pPr>
        <w:ind w:left="8208" w:hanging="360"/>
      </w:pPr>
      <w:rPr>
        <w:rFonts w:ascii="Wingdings" w:hAnsi="Wingdings" w:hint="default"/>
      </w:rPr>
    </w:lvl>
    <w:lvl w:ilvl="6" w:tplc="04090001" w:tentative="1">
      <w:start w:val="1"/>
      <w:numFmt w:val="bullet"/>
      <w:lvlText w:val=""/>
      <w:lvlJc w:val="left"/>
      <w:pPr>
        <w:ind w:left="8928" w:hanging="360"/>
      </w:pPr>
      <w:rPr>
        <w:rFonts w:ascii="Symbol" w:hAnsi="Symbol" w:hint="default"/>
      </w:rPr>
    </w:lvl>
    <w:lvl w:ilvl="7" w:tplc="04090003" w:tentative="1">
      <w:start w:val="1"/>
      <w:numFmt w:val="bullet"/>
      <w:lvlText w:val="o"/>
      <w:lvlJc w:val="left"/>
      <w:pPr>
        <w:ind w:left="9648" w:hanging="360"/>
      </w:pPr>
      <w:rPr>
        <w:rFonts w:ascii="Courier New" w:hAnsi="Courier New" w:cs="Courier New" w:hint="default"/>
      </w:rPr>
    </w:lvl>
    <w:lvl w:ilvl="8" w:tplc="04090005" w:tentative="1">
      <w:start w:val="1"/>
      <w:numFmt w:val="bullet"/>
      <w:lvlText w:val=""/>
      <w:lvlJc w:val="left"/>
      <w:pPr>
        <w:ind w:left="10368" w:hanging="360"/>
      </w:pPr>
      <w:rPr>
        <w:rFonts w:ascii="Wingdings" w:hAnsi="Wingdings" w:hint="default"/>
      </w:rPr>
    </w:lvl>
  </w:abstractNum>
  <w:abstractNum w:abstractNumId="19" w15:restartNumberingAfterBreak="0">
    <w:nsid w:val="5A9E180E"/>
    <w:multiLevelType w:val="hybridMultilevel"/>
    <w:tmpl w:val="EBAE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B5C12"/>
    <w:multiLevelType w:val="hybridMultilevel"/>
    <w:tmpl w:val="E154D89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0F6781F"/>
    <w:multiLevelType w:val="hybridMultilevel"/>
    <w:tmpl w:val="FED6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4369F"/>
    <w:multiLevelType w:val="hybridMultilevel"/>
    <w:tmpl w:val="F7C63090"/>
    <w:lvl w:ilvl="0" w:tplc="FFFFFFF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3" w15:restartNumberingAfterBreak="0">
    <w:nsid w:val="674B6D64"/>
    <w:multiLevelType w:val="hybridMultilevel"/>
    <w:tmpl w:val="F7C63090"/>
    <w:lvl w:ilvl="0" w:tplc="0409000F">
      <w:start w:val="1"/>
      <w:numFmt w:val="decimal"/>
      <w:lvlText w:val="%1."/>
      <w:lvlJc w:val="left"/>
      <w:pPr>
        <w:ind w:left="730" w:hanging="360"/>
      </w:pPr>
      <w:rPr>
        <w:rFonts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24" w15:restartNumberingAfterBreak="0">
    <w:nsid w:val="6A3F32BE"/>
    <w:multiLevelType w:val="hybridMultilevel"/>
    <w:tmpl w:val="9A927A56"/>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5" w15:restartNumberingAfterBreak="0">
    <w:nsid w:val="7CBF7ACF"/>
    <w:multiLevelType w:val="hybridMultilevel"/>
    <w:tmpl w:val="40E05D1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6" w15:restartNumberingAfterBreak="0">
    <w:nsid w:val="7CC31428"/>
    <w:multiLevelType w:val="hybridMultilevel"/>
    <w:tmpl w:val="0AE8B946"/>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7" w15:restartNumberingAfterBreak="0">
    <w:nsid w:val="7E292BFE"/>
    <w:multiLevelType w:val="hybridMultilevel"/>
    <w:tmpl w:val="B9EC3874"/>
    <w:lvl w:ilvl="0" w:tplc="0D44360A">
      <w:start w:val="1"/>
      <w:numFmt w:val="decimal"/>
      <w:lvlText w:val="%1."/>
      <w:lvlJc w:val="left"/>
      <w:pPr>
        <w:ind w:left="657"/>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1" w:tplc="9056D7F4">
      <w:start w:val="1"/>
      <w:numFmt w:val="lowerLetter"/>
      <w:lvlText w:val="%2"/>
      <w:lvlJc w:val="left"/>
      <w:pPr>
        <w:ind w:left="13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2" w:tplc="3484F402">
      <w:start w:val="1"/>
      <w:numFmt w:val="lowerRoman"/>
      <w:lvlText w:val="%3"/>
      <w:lvlJc w:val="left"/>
      <w:pPr>
        <w:ind w:left="20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3" w:tplc="9CE0DC92">
      <w:start w:val="1"/>
      <w:numFmt w:val="decimal"/>
      <w:lvlText w:val="%4"/>
      <w:lvlJc w:val="left"/>
      <w:pPr>
        <w:ind w:left="27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4" w:tplc="8FDEAF94">
      <w:start w:val="1"/>
      <w:numFmt w:val="lowerLetter"/>
      <w:lvlText w:val="%5"/>
      <w:lvlJc w:val="left"/>
      <w:pPr>
        <w:ind w:left="346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5" w:tplc="3C365858">
      <w:start w:val="1"/>
      <w:numFmt w:val="lowerRoman"/>
      <w:lvlText w:val="%6"/>
      <w:lvlJc w:val="left"/>
      <w:pPr>
        <w:ind w:left="418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6" w:tplc="A2B21BF0">
      <w:start w:val="1"/>
      <w:numFmt w:val="decimal"/>
      <w:lvlText w:val="%7"/>
      <w:lvlJc w:val="left"/>
      <w:pPr>
        <w:ind w:left="490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7" w:tplc="324C02D8">
      <w:start w:val="1"/>
      <w:numFmt w:val="lowerLetter"/>
      <w:lvlText w:val="%8"/>
      <w:lvlJc w:val="left"/>
      <w:pPr>
        <w:ind w:left="562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lvl w:ilvl="8" w:tplc="75D8727C">
      <w:start w:val="1"/>
      <w:numFmt w:val="lowerRoman"/>
      <w:lvlText w:val="%9"/>
      <w:lvlJc w:val="left"/>
      <w:pPr>
        <w:ind w:left="6346"/>
      </w:pPr>
      <w:rPr>
        <w:rFonts w:ascii="Microsoft Sans Serif" w:eastAsia="Microsoft Sans Serif" w:hAnsi="Microsoft Sans Serif" w:cs="Microsoft Sans Serif"/>
        <w:b w:val="0"/>
        <w:i w:val="0"/>
        <w:strike w:val="0"/>
        <w:dstrike w:val="0"/>
        <w:color w:val="171A1C"/>
        <w:sz w:val="26"/>
        <w:szCs w:val="26"/>
        <w:u w:val="none" w:color="000000"/>
        <w:bdr w:val="none" w:sz="0" w:space="0" w:color="auto"/>
        <w:shd w:val="clear" w:color="auto" w:fill="auto"/>
        <w:vertAlign w:val="baseline"/>
      </w:rPr>
    </w:lvl>
  </w:abstractNum>
  <w:num w:numId="1" w16cid:durableId="695079689">
    <w:abstractNumId w:val="3"/>
  </w:num>
  <w:num w:numId="2" w16cid:durableId="2049183997">
    <w:abstractNumId w:val="13"/>
  </w:num>
  <w:num w:numId="3" w16cid:durableId="1421566133">
    <w:abstractNumId w:val="27"/>
  </w:num>
  <w:num w:numId="4" w16cid:durableId="34816177">
    <w:abstractNumId w:val="8"/>
  </w:num>
  <w:num w:numId="5" w16cid:durableId="1601797464">
    <w:abstractNumId w:val="1"/>
  </w:num>
  <w:num w:numId="6" w16cid:durableId="1553034167">
    <w:abstractNumId w:val="10"/>
  </w:num>
  <w:num w:numId="7" w16cid:durableId="1453549288">
    <w:abstractNumId w:val="2"/>
  </w:num>
  <w:num w:numId="8" w16cid:durableId="323945570">
    <w:abstractNumId w:val="21"/>
  </w:num>
  <w:num w:numId="9" w16cid:durableId="1062564541">
    <w:abstractNumId w:val="0"/>
  </w:num>
  <w:num w:numId="10" w16cid:durableId="685324747">
    <w:abstractNumId w:val="24"/>
  </w:num>
  <w:num w:numId="11" w16cid:durableId="1604338972">
    <w:abstractNumId w:val="25"/>
  </w:num>
  <w:num w:numId="12" w16cid:durableId="1513377242">
    <w:abstractNumId w:val="23"/>
  </w:num>
  <w:num w:numId="13" w16cid:durableId="932665122">
    <w:abstractNumId w:val="4"/>
  </w:num>
  <w:num w:numId="14" w16cid:durableId="813253839">
    <w:abstractNumId w:val="22"/>
  </w:num>
  <w:num w:numId="15" w16cid:durableId="433092823">
    <w:abstractNumId w:val="16"/>
  </w:num>
  <w:num w:numId="16" w16cid:durableId="1294826207">
    <w:abstractNumId w:val="6"/>
  </w:num>
  <w:num w:numId="17" w16cid:durableId="1965454938">
    <w:abstractNumId w:val="5"/>
  </w:num>
  <w:num w:numId="18" w16cid:durableId="225334904">
    <w:abstractNumId w:val="26"/>
  </w:num>
  <w:num w:numId="19" w16cid:durableId="1309047560">
    <w:abstractNumId w:val="7"/>
  </w:num>
  <w:num w:numId="20" w16cid:durableId="1239317961">
    <w:abstractNumId w:val="19"/>
  </w:num>
  <w:num w:numId="21" w16cid:durableId="73091062">
    <w:abstractNumId w:val="18"/>
  </w:num>
  <w:num w:numId="22" w16cid:durableId="865600763">
    <w:abstractNumId w:val="14"/>
  </w:num>
  <w:num w:numId="23" w16cid:durableId="1864705021">
    <w:abstractNumId w:val="20"/>
  </w:num>
  <w:num w:numId="24" w16cid:durableId="1063790869">
    <w:abstractNumId w:val="17"/>
  </w:num>
  <w:num w:numId="25" w16cid:durableId="2033070022">
    <w:abstractNumId w:val="11"/>
    <w:lvlOverride w:ilvl="0">
      <w:startOverride w:val="1"/>
    </w:lvlOverride>
  </w:num>
  <w:num w:numId="26" w16cid:durableId="43216167">
    <w:abstractNumId w:val="12"/>
  </w:num>
  <w:num w:numId="27" w16cid:durableId="1479566983">
    <w:abstractNumId w:val="9"/>
  </w:num>
  <w:num w:numId="28" w16cid:durableId="1616305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49F"/>
    <w:rsid w:val="000105AF"/>
    <w:rsid w:val="0002156F"/>
    <w:rsid w:val="00024E5C"/>
    <w:rsid w:val="00026346"/>
    <w:rsid w:val="00046EA1"/>
    <w:rsid w:val="00051AEE"/>
    <w:rsid w:val="00051DBC"/>
    <w:rsid w:val="0006061B"/>
    <w:rsid w:val="00060FB1"/>
    <w:rsid w:val="000620D8"/>
    <w:rsid w:val="0006613C"/>
    <w:rsid w:val="00070E52"/>
    <w:rsid w:val="00081B24"/>
    <w:rsid w:val="000823AE"/>
    <w:rsid w:val="00092994"/>
    <w:rsid w:val="000A499E"/>
    <w:rsid w:val="000A5172"/>
    <w:rsid w:val="000B0D1D"/>
    <w:rsid w:val="000C20A6"/>
    <w:rsid w:val="000C51CA"/>
    <w:rsid w:val="000C6466"/>
    <w:rsid w:val="000D1117"/>
    <w:rsid w:val="000D3CCA"/>
    <w:rsid w:val="000E22F4"/>
    <w:rsid w:val="000E3E33"/>
    <w:rsid w:val="000F30DA"/>
    <w:rsid w:val="000F462B"/>
    <w:rsid w:val="000F5D15"/>
    <w:rsid w:val="00101B3C"/>
    <w:rsid w:val="00101B73"/>
    <w:rsid w:val="00107EF1"/>
    <w:rsid w:val="00111B06"/>
    <w:rsid w:val="00116C6A"/>
    <w:rsid w:val="001209B7"/>
    <w:rsid w:val="00127F40"/>
    <w:rsid w:val="0014353D"/>
    <w:rsid w:val="001437F8"/>
    <w:rsid w:val="00144F2E"/>
    <w:rsid w:val="001467C4"/>
    <w:rsid w:val="00154AD8"/>
    <w:rsid w:val="001620A4"/>
    <w:rsid w:val="001766A8"/>
    <w:rsid w:val="0018175D"/>
    <w:rsid w:val="00186335"/>
    <w:rsid w:val="00195D37"/>
    <w:rsid w:val="001A2B5E"/>
    <w:rsid w:val="001B082E"/>
    <w:rsid w:val="001B1FE8"/>
    <w:rsid w:val="001C7375"/>
    <w:rsid w:val="001D7A89"/>
    <w:rsid w:val="001E03EB"/>
    <w:rsid w:val="001E09C9"/>
    <w:rsid w:val="002051C0"/>
    <w:rsid w:val="002462C9"/>
    <w:rsid w:val="00252CFF"/>
    <w:rsid w:val="00263694"/>
    <w:rsid w:val="002674CE"/>
    <w:rsid w:val="0027201B"/>
    <w:rsid w:val="0027535D"/>
    <w:rsid w:val="00280EE6"/>
    <w:rsid w:val="00281C0A"/>
    <w:rsid w:val="002871B9"/>
    <w:rsid w:val="002A1ABE"/>
    <w:rsid w:val="002A2596"/>
    <w:rsid w:val="002C262F"/>
    <w:rsid w:val="002D1E37"/>
    <w:rsid w:val="002D63BD"/>
    <w:rsid w:val="002E0466"/>
    <w:rsid w:val="002E08AF"/>
    <w:rsid w:val="002E4151"/>
    <w:rsid w:val="002E5AB9"/>
    <w:rsid w:val="002E676A"/>
    <w:rsid w:val="002F0710"/>
    <w:rsid w:val="002F7CE6"/>
    <w:rsid w:val="00300A36"/>
    <w:rsid w:val="003025A8"/>
    <w:rsid w:val="003134C1"/>
    <w:rsid w:val="00321BC1"/>
    <w:rsid w:val="003273DB"/>
    <w:rsid w:val="00330394"/>
    <w:rsid w:val="003372A2"/>
    <w:rsid w:val="0033735D"/>
    <w:rsid w:val="00337464"/>
    <w:rsid w:val="003378AF"/>
    <w:rsid w:val="00342A2D"/>
    <w:rsid w:val="00342DC6"/>
    <w:rsid w:val="00344B2F"/>
    <w:rsid w:val="00344C33"/>
    <w:rsid w:val="00346273"/>
    <w:rsid w:val="003518FF"/>
    <w:rsid w:val="003532C4"/>
    <w:rsid w:val="00354CD0"/>
    <w:rsid w:val="00364EDE"/>
    <w:rsid w:val="003655C1"/>
    <w:rsid w:val="003728B2"/>
    <w:rsid w:val="0037572D"/>
    <w:rsid w:val="00380B34"/>
    <w:rsid w:val="00381732"/>
    <w:rsid w:val="00384CD2"/>
    <w:rsid w:val="00387FA4"/>
    <w:rsid w:val="003A2E3A"/>
    <w:rsid w:val="003A395B"/>
    <w:rsid w:val="003A531C"/>
    <w:rsid w:val="003A56BA"/>
    <w:rsid w:val="003C0FAB"/>
    <w:rsid w:val="003D3767"/>
    <w:rsid w:val="003E0C2C"/>
    <w:rsid w:val="003E5248"/>
    <w:rsid w:val="003E5BF2"/>
    <w:rsid w:val="003E6499"/>
    <w:rsid w:val="003E6F7C"/>
    <w:rsid w:val="003F5BB4"/>
    <w:rsid w:val="004033FB"/>
    <w:rsid w:val="00403B18"/>
    <w:rsid w:val="00404B08"/>
    <w:rsid w:val="00407CC1"/>
    <w:rsid w:val="0041262F"/>
    <w:rsid w:val="00437245"/>
    <w:rsid w:val="00440BD2"/>
    <w:rsid w:val="00446F88"/>
    <w:rsid w:val="00463E31"/>
    <w:rsid w:val="0046777E"/>
    <w:rsid w:val="004706D5"/>
    <w:rsid w:val="004742F3"/>
    <w:rsid w:val="004A1EB6"/>
    <w:rsid w:val="004B1490"/>
    <w:rsid w:val="004B5292"/>
    <w:rsid w:val="004C3308"/>
    <w:rsid w:val="00501215"/>
    <w:rsid w:val="005131CC"/>
    <w:rsid w:val="0051701F"/>
    <w:rsid w:val="005204F7"/>
    <w:rsid w:val="005242E7"/>
    <w:rsid w:val="00524853"/>
    <w:rsid w:val="00524B48"/>
    <w:rsid w:val="005303A5"/>
    <w:rsid w:val="0053397F"/>
    <w:rsid w:val="0053586D"/>
    <w:rsid w:val="00541DC1"/>
    <w:rsid w:val="0054397F"/>
    <w:rsid w:val="005458C7"/>
    <w:rsid w:val="00547DF5"/>
    <w:rsid w:val="005526CB"/>
    <w:rsid w:val="005531D6"/>
    <w:rsid w:val="0055519C"/>
    <w:rsid w:val="00557CE1"/>
    <w:rsid w:val="005611E5"/>
    <w:rsid w:val="005640CF"/>
    <w:rsid w:val="00570753"/>
    <w:rsid w:val="005731DD"/>
    <w:rsid w:val="00573A0E"/>
    <w:rsid w:val="00576225"/>
    <w:rsid w:val="00584D67"/>
    <w:rsid w:val="005856F9"/>
    <w:rsid w:val="005870C0"/>
    <w:rsid w:val="00592077"/>
    <w:rsid w:val="005949BB"/>
    <w:rsid w:val="0059580B"/>
    <w:rsid w:val="005B0307"/>
    <w:rsid w:val="005B19EC"/>
    <w:rsid w:val="005B34C4"/>
    <w:rsid w:val="005C5EAF"/>
    <w:rsid w:val="005D57CB"/>
    <w:rsid w:val="005D7207"/>
    <w:rsid w:val="005E02C2"/>
    <w:rsid w:val="005E449F"/>
    <w:rsid w:val="005E6258"/>
    <w:rsid w:val="005E72DF"/>
    <w:rsid w:val="005F1C98"/>
    <w:rsid w:val="005F267A"/>
    <w:rsid w:val="005F4B99"/>
    <w:rsid w:val="005F7F25"/>
    <w:rsid w:val="006042D5"/>
    <w:rsid w:val="00612C88"/>
    <w:rsid w:val="00615ACC"/>
    <w:rsid w:val="00623806"/>
    <w:rsid w:val="00631B1C"/>
    <w:rsid w:val="00631E79"/>
    <w:rsid w:val="00644829"/>
    <w:rsid w:val="00644C80"/>
    <w:rsid w:val="00661A57"/>
    <w:rsid w:val="00673BDC"/>
    <w:rsid w:val="00674462"/>
    <w:rsid w:val="00674D9D"/>
    <w:rsid w:val="0067651A"/>
    <w:rsid w:val="00677F02"/>
    <w:rsid w:val="006837EA"/>
    <w:rsid w:val="00686A2F"/>
    <w:rsid w:val="00690941"/>
    <w:rsid w:val="00694724"/>
    <w:rsid w:val="0069553E"/>
    <w:rsid w:val="00695665"/>
    <w:rsid w:val="006957AC"/>
    <w:rsid w:val="006A4EB9"/>
    <w:rsid w:val="006A5347"/>
    <w:rsid w:val="006A6D23"/>
    <w:rsid w:val="006A6F0A"/>
    <w:rsid w:val="006A7E7F"/>
    <w:rsid w:val="006B2BC6"/>
    <w:rsid w:val="006B7336"/>
    <w:rsid w:val="006B7FEA"/>
    <w:rsid w:val="006C5EEC"/>
    <w:rsid w:val="006D2657"/>
    <w:rsid w:val="006D7F33"/>
    <w:rsid w:val="006E5A28"/>
    <w:rsid w:val="006F245A"/>
    <w:rsid w:val="006F2B23"/>
    <w:rsid w:val="007006B3"/>
    <w:rsid w:val="00703037"/>
    <w:rsid w:val="00717B24"/>
    <w:rsid w:val="00725344"/>
    <w:rsid w:val="00750ABA"/>
    <w:rsid w:val="00752343"/>
    <w:rsid w:val="0076385B"/>
    <w:rsid w:val="0077192D"/>
    <w:rsid w:val="007731BC"/>
    <w:rsid w:val="0077349E"/>
    <w:rsid w:val="00773DEF"/>
    <w:rsid w:val="0077497C"/>
    <w:rsid w:val="00776BC2"/>
    <w:rsid w:val="0078571A"/>
    <w:rsid w:val="00785ADA"/>
    <w:rsid w:val="00787010"/>
    <w:rsid w:val="007921ED"/>
    <w:rsid w:val="00796CAA"/>
    <w:rsid w:val="007A310A"/>
    <w:rsid w:val="007B026E"/>
    <w:rsid w:val="007B12D9"/>
    <w:rsid w:val="007B1E01"/>
    <w:rsid w:val="007B25E8"/>
    <w:rsid w:val="007B2FE1"/>
    <w:rsid w:val="007B400D"/>
    <w:rsid w:val="007C1F8B"/>
    <w:rsid w:val="007C74F6"/>
    <w:rsid w:val="007C7D8B"/>
    <w:rsid w:val="007D77AB"/>
    <w:rsid w:val="007E7E2C"/>
    <w:rsid w:val="007F12D5"/>
    <w:rsid w:val="0080594E"/>
    <w:rsid w:val="008101FA"/>
    <w:rsid w:val="00820CCB"/>
    <w:rsid w:val="00822900"/>
    <w:rsid w:val="008322F7"/>
    <w:rsid w:val="00845BC6"/>
    <w:rsid w:val="00852FBB"/>
    <w:rsid w:val="00856FBD"/>
    <w:rsid w:val="00875A55"/>
    <w:rsid w:val="008878BC"/>
    <w:rsid w:val="00895CC2"/>
    <w:rsid w:val="00896849"/>
    <w:rsid w:val="008A4AEC"/>
    <w:rsid w:val="008A6B6E"/>
    <w:rsid w:val="008A7952"/>
    <w:rsid w:val="008B0847"/>
    <w:rsid w:val="008B6061"/>
    <w:rsid w:val="008C3A53"/>
    <w:rsid w:val="008C76BE"/>
    <w:rsid w:val="008D1377"/>
    <w:rsid w:val="008E0A26"/>
    <w:rsid w:val="008E114B"/>
    <w:rsid w:val="008E1C3C"/>
    <w:rsid w:val="00911E75"/>
    <w:rsid w:val="009154FD"/>
    <w:rsid w:val="00915823"/>
    <w:rsid w:val="0092756C"/>
    <w:rsid w:val="00932008"/>
    <w:rsid w:val="0093301C"/>
    <w:rsid w:val="00943FB4"/>
    <w:rsid w:val="00953607"/>
    <w:rsid w:val="009605D2"/>
    <w:rsid w:val="00960F2C"/>
    <w:rsid w:val="00966002"/>
    <w:rsid w:val="0096714E"/>
    <w:rsid w:val="00967233"/>
    <w:rsid w:val="0097026B"/>
    <w:rsid w:val="00970DEB"/>
    <w:rsid w:val="00977723"/>
    <w:rsid w:val="00987E86"/>
    <w:rsid w:val="009A307C"/>
    <w:rsid w:val="009B17EE"/>
    <w:rsid w:val="009B6F4F"/>
    <w:rsid w:val="009D38E9"/>
    <w:rsid w:val="009E6AA7"/>
    <w:rsid w:val="00A04675"/>
    <w:rsid w:val="00A05EE1"/>
    <w:rsid w:val="00A06909"/>
    <w:rsid w:val="00A105FC"/>
    <w:rsid w:val="00A11A20"/>
    <w:rsid w:val="00A1426F"/>
    <w:rsid w:val="00A228CF"/>
    <w:rsid w:val="00A26E5F"/>
    <w:rsid w:val="00A316A0"/>
    <w:rsid w:val="00A60313"/>
    <w:rsid w:val="00A60999"/>
    <w:rsid w:val="00A678D7"/>
    <w:rsid w:val="00A7285A"/>
    <w:rsid w:val="00A7467C"/>
    <w:rsid w:val="00A769A0"/>
    <w:rsid w:val="00A82700"/>
    <w:rsid w:val="00A83BF8"/>
    <w:rsid w:val="00A927EC"/>
    <w:rsid w:val="00A9526B"/>
    <w:rsid w:val="00AA127A"/>
    <w:rsid w:val="00AA1F1E"/>
    <w:rsid w:val="00AB25C5"/>
    <w:rsid w:val="00AD58F3"/>
    <w:rsid w:val="00AF0B22"/>
    <w:rsid w:val="00B102A7"/>
    <w:rsid w:val="00B12406"/>
    <w:rsid w:val="00B136BE"/>
    <w:rsid w:val="00B13A82"/>
    <w:rsid w:val="00B1685E"/>
    <w:rsid w:val="00B265DF"/>
    <w:rsid w:val="00B33829"/>
    <w:rsid w:val="00B344B5"/>
    <w:rsid w:val="00B3765F"/>
    <w:rsid w:val="00B37E8E"/>
    <w:rsid w:val="00B56D26"/>
    <w:rsid w:val="00B62476"/>
    <w:rsid w:val="00B7632E"/>
    <w:rsid w:val="00B7673C"/>
    <w:rsid w:val="00B76975"/>
    <w:rsid w:val="00B838CF"/>
    <w:rsid w:val="00B9210B"/>
    <w:rsid w:val="00B94559"/>
    <w:rsid w:val="00B95D41"/>
    <w:rsid w:val="00B96B80"/>
    <w:rsid w:val="00B9721A"/>
    <w:rsid w:val="00BA0DFE"/>
    <w:rsid w:val="00BA4596"/>
    <w:rsid w:val="00BA6DB1"/>
    <w:rsid w:val="00BB2B33"/>
    <w:rsid w:val="00BC0D39"/>
    <w:rsid w:val="00BC3724"/>
    <w:rsid w:val="00BC53E3"/>
    <w:rsid w:val="00BD62AE"/>
    <w:rsid w:val="00BD6961"/>
    <w:rsid w:val="00BE02C6"/>
    <w:rsid w:val="00BE3380"/>
    <w:rsid w:val="00BF54E2"/>
    <w:rsid w:val="00C01C0A"/>
    <w:rsid w:val="00C1556B"/>
    <w:rsid w:val="00C43B8C"/>
    <w:rsid w:val="00C442CA"/>
    <w:rsid w:val="00C4696E"/>
    <w:rsid w:val="00C470FE"/>
    <w:rsid w:val="00C53425"/>
    <w:rsid w:val="00C56FA6"/>
    <w:rsid w:val="00C57678"/>
    <w:rsid w:val="00C5778E"/>
    <w:rsid w:val="00C658BF"/>
    <w:rsid w:val="00C67ADA"/>
    <w:rsid w:val="00C77956"/>
    <w:rsid w:val="00C86E84"/>
    <w:rsid w:val="00C936BC"/>
    <w:rsid w:val="00CA01F3"/>
    <w:rsid w:val="00CB06E3"/>
    <w:rsid w:val="00CB64B6"/>
    <w:rsid w:val="00CC156D"/>
    <w:rsid w:val="00CC666E"/>
    <w:rsid w:val="00CE39D2"/>
    <w:rsid w:val="00CE630E"/>
    <w:rsid w:val="00CE6F49"/>
    <w:rsid w:val="00CE751C"/>
    <w:rsid w:val="00CF6B89"/>
    <w:rsid w:val="00D06DC8"/>
    <w:rsid w:val="00D073E9"/>
    <w:rsid w:val="00D253E1"/>
    <w:rsid w:val="00D30BDD"/>
    <w:rsid w:val="00D371D6"/>
    <w:rsid w:val="00D4154D"/>
    <w:rsid w:val="00D53586"/>
    <w:rsid w:val="00D5659B"/>
    <w:rsid w:val="00D66982"/>
    <w:rsid w:val="00D70F5D"/>
    <w:rsid w:val="00D76E94"/>
    <w:rsid w:val="00D808C3"/>
    <w:rsid w:val="00D80952"/>
    <w:rsid w:val="00D82F86"/>
    <w:rsid w:val="00D85E08"/>
    <w:rsid w:val="00D965B9"/>
    <w:rsid w:val="00DA3DBA"/>
    <w:rsid w:val="00DA47EE"/>
    <w:rsid w:val="00DA5A2D"/>
    <w:rsid w:val="00DD418A"/>
    <w:rsid w:val="00DD6BC4"/>
    <w:rsid w:val="00DD6D33"/>
    <w:rsid w:val="00DD77B3"/>
    <w:rsid w:val="00DE5C31"/>
    <w:rsid w:val="00DF24BE"/>
    <w:rsid w:val="00DF41D2"/>
    <w:rsid w:val="00DF45CF"/>
    <w:rsid w:val="00E02F76"/>
    <w:rsid w:val="00E05459"/>
    <w:rsid w:val="00E168A2"/>
    <w:rsid w:val="00E21E38"/>
    <w:rsid w:val="00E32012"/>
    <w:rsid w:val="00E34593"/>
    <w:rsid w:val="00E424C3"/>
    <w:rsid w:val="00E4275D"/>
    <w:rsid w:val="00E4363A"/>
    <w:rsid w:val="00E547DF"/>
    <w:rsid w:val="00E569A9"/>
    <w:rsid w:val="00E64AAE"/>
    <w:rsid w:val="00E651C4"/>
    <w:rsid w:val="00E759AC"/>
    <w:rsid w:val="00E77742"/>
    <w:rsid w:val="00E8002F"/>
    <w:rsid w:val="00E8295A"/>
    <w:rsid w:val="00EA2AFA"/>
    <w:rsid w:val="00EB389F"/>
    <w:rsid w:val="00EB5606"/>
    <w:rsid w:val="00EC2F00"/>
    <w:rsid w:val="00EC3D20"/>
    <w:rsid w:val="00EC47D6"/>
    <w:rsid w:val="00EC7ABC"/>
    <w:rsid w:val="00ED0F70"/>
    <w:rsid w:val="00ED3702"/>
    <w:rsid w:val="00ED5715"/>
    <w:rsid w:val="00ED7A6A"/>
    <w:rsid w:val="00EF1D45"/>
    <w:rsid w:val="00F0086D"/>
    <w:rsid w:val="00F0131B"/>
    <w:rsid w:val="00F03260"/>
    <w:rsid w:val="00F04CB4"/>
    <w:rsid w:val="00F16BCC"/>
    <w:rsid w:val="00F20F32"/>
    <w:rsid w:val="00F25F13"/>
    <w:rsid w:val="00F4006E"/>
    <w:rsid w:val="00F47825"/>
    <w:rsid w:val="00F50CDE"/>
    <w:rsid w:val="00F5533B"/>
    <w:rsid w:val="00F56ADD"/>
    <w:rsid w:val="00F578A9"/>
    <w:rsid w:val="00F62E6C"/>
    <w:rsid w:val="00F67105"/>
    <w:rsid w:val="00F679D3"/>
    <w:rsid w:val="00F72AF3"/>
    <w:rsid w:val="00F750AF"/>
    <w:rsid w:val="00F82837"/>
    <w:rsid w:val="00F83F00"/>
    <w:rsid w:val="00F86A40"/>
    <w:rsid w:val="00F86DDA"/>
    <w:rsid w:val="00FA4121"/>
    <w:rsid w:val="00FB3754"/>
    <w:rsid w:val="00FC7A11"/>
    <w:rsid w:val="00FD71BB"/>
    <w:rsid w:val="136DB3F5"/>
    <w:rsid w:val="176576B3"/>
    <w:rsid w:val="308D9D7E"/>
    <w:rsid w:val="357DC60F"/>
    <w:rsid w:val="3E7CFD3B"/>
    <w:rsid w:val="443C2487"/>
    <w:rsid w:val="49FD660A"/>
    <w:rsid w:val="53262E6B"/>
    <w:rsid w:val="578A704C"/>
    <w:rsid w:val="5A357B05"/>
    <w:rsid w:val="621520DE"/>
    <w:rsid w:val="622D11A6"/>
    <w:rsid w:val="639D323F"/>
    <w:rsid w:val="6424FAAE"/>
    <w:rsid w:val="6CC19BC8"/>
    <w:rsid w:val="6D4BFB13"/>
    <w:rsid w:val="6F3A350A"/>
    <w:rsid w:val="777614F7"/>
    <w:rsid w:val="7C15D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3797C"/>
  <w15:docId w15:val="{C68B7F16-DB37-46B3-B82A-38C7B25FE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A2D"/>
    <w:pPr>
      <w:spacing w:before="120" w:after="120" w:line="269" w:lineRule="auto"/>
    </w:pPr>
    <w:rPr>
      <w:rFonts w:ascii="Arial" w:eastAsia="Microsoft Sans Serif" w:hAnsi="Arial" w:cs="Arial"/>
      <w:color w:val="171A1C"/>
      <w:sz w:val="24"/>
    </w:rPr>
  </w:style>
  <w:style w:type="paragraph" w:styleId="Heading1">
    <w:name w:val="heading 1"/>
    <w:basedOn w:val="Normal"/>
    <w:next w:val="Normal"/>
    <w:link w:val="Heading1Char"/>
    <w:uiPriority w:val="9"/>
    <w:qFormat/>
    <w:rsid w:val="002E4151"/>
    <w:pPr>
      <w:spacing w:before="59"/>
      <w:outlineLvl w:val="0"/>
    </w:pPr>
    <w:rPr>
      <w:b/>
      <w:color w:val="1F8B9D" w:themeColor="accent6"/>
      <w:sz w:val="36"/>
      <w:szCs w:val="28"/>
    </w:rPr>
  </w:style>
  <w:style w:type="paragraph" w:styleId="Heading2">
    <w:name w:val="heading 2"/>
    <w:link w:val="Heading2Char"/>
    <w:uiPriority w:val="9"/>
    <w:unhideWhenUsed/>
    <w:qFormat/>
    <w:rsid w:val="00342A2D"/>
    <w:pPr>
      <w:keepNext/>
      <w:keepLines/>
      <w:spacing w:before="120" w:after="120"/>
      <w:outlineLvl w:val="1"/>
    </w:pPr>
    <w:rPr>
      <w:rFonts w:ascii="Arial" w:eastAsia="Microsoft Sans Serif" w:hAnsi="Arial" w:cs="Microsoft Sans Serif"/>
      <w:b/>
      <w:color w:val="12171D" w:themeColor="background2" w:themeShade="1A"/>
      <w:sz w:val="28"/>
    </w:rPr>
  </w:style>
  <w:style w:type="paragraph" w:styleId="Heading3">
    <w:name w:val="heading 3"/>
    <w:next w:val="Normal"/>
    <w:link w:val="Heading3Char"/>
    <w:uiPriority w:val="9"/>
    <w:unhideWhenUsed/>
    <w:qFormat/>
    <w:rsid w:val="00B9721A"/>
    <w:pPr>
      <w:keepNext/>
      <w:keepLines/>
      <w:spacing w:before="400" w:after="80"/>
      <w:ind w:left="14" w:hanging="14"/>
      <w:outlineLvl w:val="2"/>
    </w:pPr>
    <w:rPr>
      <w:rFonts w:ascii="Arial" w:eastAsia="Microsoft Sans Serif" w:hAnsi="Arial" w:cs="Microsoft Sans Serif"/>
      <w:b/>
      <w:caps/>
      <w:color w:val="1F8B9D" w:themeColor="accent6"/>
      <w:sz w:val="24"/>
    </w:rPr>
  </w:style>
  <w:style w:type="paragraph" w:styleId="Heading4">
    <w:name w:val="heading 4"/>
    <w:basedOn w:val="Normal"/>
    <w:next w:val="Normal"/>
    <w:link w:val="Heading4Char"/>
    <w:uiPriority w:val="9"/>
    <w:unhideWhenUsed/>
    <w:qFormat/>
    <w:rsid w:val="00B9721A"/>
    <w:pPr>
      <w:keepNext/>
      <w:keepLines/>
      <w:spacing w:before="400" w:after="50"/>
      <w:ind w:left="1036"/>
      <w:outlineLvl w:val="3"/>
    </w:pPr>
    <w:rPr>
      <w:rFonts w:eastAsiaTheme="majorEastAsia" w:cstheme="majorBidi"/>
      <w:b/>
      <w:iCs/>
      <w:caps/>
      <w:color w:val="00AEC7" w:themeColor="accent1"/>
    </w:rPr>
  </w:style>
  <w:style w:type="paragraph" w:styleId="Heading5">
    <w:name w:val="heading 5"/>
    <w:basedOn w:val="Normal"/>
    <w:next w:val="Normal"/>
    <w:link w:val="Heading5Char"/>
    <w:uiPriority w:val="9"/>
    <w:unhideWhenUsed/>
    <w:qFormat/>
    <w:rsid w:val="002871B9"/>
    <w:pPr>
      <w:keepNext/>
      <w:keepLines/>
      <w:spacing w:before="400" w:after="50"/>
      <w:ind w:left="1036"/>
      <w:outlineLvl w:val="4"/>
    </w:pPr>
    <w:rPr>
      <w:rFonts w:eastAsiaTheme="majorEastAsia" w:cstheme="majorBidi"/>
      <w:color w:val="5B677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B9721A"/>
    <w:rPr>
      <w:rFonts w:ascii="Arial" w:eastAsia="Microsoft Sans Serif" w:hAnsi="Arial" w:cs="Microsoft Sans Serif"/>
      <w:b/>
      <w:caps/>
      <w:color w:val="1F8B9D" w:themeColor="accent6"/>
      <w:sz w:val="24"/>
    </w:rPr>
  </w:style>
  <w:style w:type="character" w:customStyle="1" w:styleId="Heading2Char">
    <w:name w:val="Heading 2 Char"/>
    <w:link w:val="Heading2"/>
    <w:uiPriority w:val="9"/>
    <w:rsid w:val="00342A2D"/>
    <w:rPr>
      <w:rFonts w:ascii="Arial" w:eastAsia="Microsoft Sans Serif" w:hAnsi="Arial" w:cs="Microsoft Sans Serif"/>
      <w:b/>
      <w:color w:val="12171D" w:themeColor="background2" w:themeShade="1A"/>
      <w:sz w:val="28"/>
    </w:rPr>
  </w:style>
  <w:style w:type="character" w:customStyle="1" w:styleId="Heading1Char">
    <w:name w:val="Heading 1 Char"/>
    <w:link w:val="Heading1"/>
    <w:uiPriority w:val="9"/>
    <w:rsid w:val="002E4151"/>
    <w:rPr>
      <w:rFonts w:ascii="Arial" w:eastAsia="Microsoft Sans Serif" w:hAnsi="Arial" w:cs="Microsoft Sans Serif"/>
      <w:b/>
      <w:color w:val="1F8B9D" w:themeColor="accent6"/>
      <w:sz w:val="36"/>
      <w:szCs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ceholderText">
    <w:name w:val="Placeholder Text"/>
    <w:basedOn w:val="DefaultParagraphFont"/>
    <w:uiPriority w:val="99"/>
    <w:semiHidden/>
    <w:rsid w:val="00796CAA"/>
    <w:rPr>
      <w:color w:val="808080"/>
    </w:rPr>
  </w:style>
  <w:style w:type="paragraph" w:customStyle="1" w:styleId="FooterTextLeft">
    <w:name w:val="Footer Text Left"/>
    <w:basedOn w:val="Normal"/>
    <w:qFormat/>
    <w:rsid w:val="00342A2D"/>
    <w:pPr>
      <w:tabs>
        <w:tab w:val="right" w:pos="9937"/>
      </w:tabs>
      <w:spacing w:before="0" w:after="0" w:line="240" w:lineRule="auto"/>
    </w:pPr>
    <w:rPr>
      <w:rFonts w:eastAsia="Calibri" w:cs="Calibri"/>
      <w:noProof/>
      <w:color w:val="12171D" w:themeColor="background2" w:themeShade="1A"/>
      <w:sz w:val="20"/>
    </w:rPr>
  </w:style>
  <w:style w:type="paragraph" w:customStyle="1" w:styleId="FooterTextRight">
    <w:name w:val="Footer Text Right"/>
    <w:basedOn w:val="FooterTextLeft"/>
    <w:qFormat/>
    <w:rsid w:val="00796CAA"/>
    <w:pPr>
      <w:jc w:val="right"/>
    </w:pPr>
  </w:style>
  <w:style w:type="paragraph" w:styleId="Footer">
    <w:name w:val="footer"/>
    <w:basedOn w:val="Normal"/>
    <w:link w:val="FooterChar"/>
    <w:uiPriority w:val="99"/>
    <w:unhideWhenUsed/>
    <w:rsid w:val="001437F8"/>
    <w:pPr>
      <w:tabs>
        <w:tab w:val="center" w:pos="4680"/>
        <w:tab w:val="right" w:pos="9360"/>
      </w:tabs>
      <w:spacing w:after="0" w:line="240" w:lineRule="auto"/>
    </w:pPr>
    <w:rPr>
      <w:rFonts w:eastAsiaTheme="minorEastAsia" w:cs="Times New Roman"/>
      <w:color w:val="auto"/>
      <w:sz w:val="22"/>
    </w:rPr>
  </w:style>
  <w:style w:type="character" w:customStyle="1" w:styleId="FooterChar">
    <w:name w:val="Footer Char"/>
    <w:basedOn w:val="DefaultParagraphFont"/>
    <w:link w:val="Footer"/>
    <w:uiPriority w:val="99"/>
    <w:rsid w:val="001437F8"/>
    <w:rPr>
      <w:rFonts w:ascii="Roboto" w:hAnsi="Roboto" w:cs="Times New Roman"/>
    </w:rPr>
  </w:style>
  <w:style w:type="paragraph" w:styleId="NoSpacing">
    <w:name w:val="No Spacing"/>
    <w:link w:val="NoSpacingChar"/>
    <w:uiPriority w:val="1"/>
    <w:qFormat/>
    <w:rsid w:val="007B2FE1"/>
    <w:pPr>
      <w:spacing w:after="0" w:line="240" w:lineRule="auto"/>
      <w:ind w:left="1030" w:hanging="10"/>
    </w:pPr>
    <w:rPr>
      <w:rFonts w:ascii="Roboto" w:eastAsia="Microsoft Sans Serif" w:hAnsi="Roboto" w:cs="Microsoft Sans Serif"/>
      <w:color w:val="2D3338"/>
      <w:sz w:val="26"/>
    </w:rPr>
  </w:style>
  <w:style w:type="character" w:customStyle="1" w:styleId="Heading4Char">
    <w:name w:val="Heading 4 Char"/>
    <w:basedOn w:val="DefaultParagraphFont"/>
    <w:link w:val="Heading4"/>
    <w:uiPriority w:val="9"/>
    <w:rsid w:val="00B9721A"/>
    <w:rPr>
      <w:rFonts w:ascii="Arial" w:eastAsiaTheme="majorEastAsia" w:hAnsi="Arial" w:cstheme="majorBidi"/>
      <w:b/>
      <w:iCs/>
      <w:caps/>
      <w:color w:val="00AEC7" w:themeColor="accent1"/>
      <w:sz w:val="24"/>
    </w:rPr>
  </w:style>
  <w:style w:type="character" w:customStyle="1" w:styleId="NoSpacingChar">
    <w:name w:val="No Spacing Char"/>
    <w:basedOn w:val="DefaultParagraphFont"/>
    <w:link w:val="NoSpacing"/>
    <w:uiPriority w:val="1"/>
    <w:rsid w:val="00A769A0"/>
    <w:rPr>
      <w:rFonts w:ascii="Roboto" w:eastAsia="Microsoft Sans Serif" w:hAnsi="Roboto" w:cs="Microsoft Sans Serif"/>
      <w:color w:val="2D3338"/>
      <w:sz w:val="26"/>
    </w:rPr>
  </w:style>
  <w:style w:type="paragraph" w:styleId="Title">
    <w:name w:val="Title"/>
    <w:basedOn w:val="Normal"/>
    <w:next w:val="Normal"/>
    <w:link w:val="TitleChar"/>
    <w:uiPriority w:val="10"/>
    <w:rsid w:val="002D63BD"/>
    <w:pPr>
      <w:spacing w:after="0" w:line="240" w:lineRule="auto"/>
      <w:contextualSpacing/>
    </w:pPr>
    <w:rPr>
      <w:rFonts w:eastAsiaTheme="majorEastAsia" w:cstheme="majorBidi"/>
      <w:b/>
      <w:color w:val="2D3338"/>
      <w:spacing w:val="-10"/>
      <w:kern w:val="28"/>
      <w:sz w:val="44"/>
      <w:szCs w:val="56"/>
    </w:rPr>
  </w:style>
  <w:style w:type="character" w:customStyle="1" w:styleId="TitleChar">
    <w:name w:val="Title Char"/>
    <w:basedOn w:val="DefaultParagraphFont"/>
    <w:link w:val="Title"/>
    <w:uiPriority w:val="10"/>
    <w:rsid w:val="002D63BD"/>
    <w:rPr>
      <w:rFonts w:ascii="Roboto" w:eastAsiaTheme="majorEastAsia" w:hAnsi="Roboto" w:cstheme="majorBidi"/>
      <w:b/>
      <w:color w:val="2D3338"/>
      <w:spacing w:val="-10"/>
      <w:kern w:val="28"/>
      <w:sz w:val="44"/>
      <w:szCs w:val="56"/>
    </w:rPr>
  </w:style>
  <w:style w:type="paragraph" w:styleId="Subtitle">
    <w:name w:val="Subtitle"/>
    <w:basedOn w:val="Normal"/>
    <w:next w:val="Normal"/>
    <w:link w:val="SubtitleChar"/>
    <w:uiPriority w:val="11"/>
    <w:qFormat/>
    <w:rsid w:val="00AB25C5"/>
    <w:pPr>
      <w:numPr>
        <w:ilvl w:val="1"/>
      </w:numPr>
      <w:spacing w:after="160"/>
      <w:ind w:left="1030" w:hanging="10"/>
    </w:pPr>
    <w:rPr>
      <w:rFonts w:eastAsiaTheme="minorEastAsia" w:cstheme="minorBidi"/>
      <w:b/>
      <w:color w:val="2D3338"/>
      <w:spacing w:val="15"/>
    </w:rPr>
  </w:style>
  <w:style w:type="character" w:customStyle="1" w:styleId="SubtitleChar">
    <w:name w:val="Subtitle Char"/>
    <w:basedOn w:val="DefaultParagraphFont"/>
    <w:link w:val="Subtitle"/>
    <w:uiPriority w:val="11"/>
    <w:rsid w:val="00AB25C5"/>
    <w:rPr>
      <w:rFonts w:ascii="Roboto" w:hAnsi="Roboto"/>
      <w:b/>
      <w:color w:val="2D3338"/>
      <w:spacing w:val="15"/>
      <w:sz w:val="24"/>
    </w:rPr>
  </w:style>
  <w:style w:type="character" w:styleId="SubtleEmphasis">
    <w:name w:val="Subtle Emphasis"/>
    <w:basedOn w:val="DefaultParagraphFont"/>
    <w:uiPriority w:val="19"/>
    <w:qFormat/>
    <w:rsid w:val="00AB25C5"/>
    <w:rPr>
      <w:i/>
      <w:iCs/>
      <w:color w:val="2D3338"/>
    </w:rPr>
  </w:style>
  <w:style w:type="character" w:styleId="Emphasis">
    <w:name w:val="Emphasis"/>
    <w:basedOn w:val="DefaultParagraphFont"/>
    <w:uiPriority w:val="20"/>
    <w:qFormat/>
    <w:rsid w:val="00B7673C"/>
    <w:rPr>
      <w:i/>
      <w:iCs/>
      <w:color w:val="2D3338"/>
    </w:rPr>
  </w:style>
  <w:style w:type="character" w:styleId="IntenseEmphasis">
    <w:name w:val="Intense Emphasis"/>
    <w:basedOn w:val="DefaultParagraphFont"/>
    <w:uiPriority w:val="21"/>
    <w:qFormat/>
    <w:rsid w:val="00B7673C"/>
    <w:rPr>
      <w:i/>
      <w:iCs/>
      <w:color w:val="1F8B9D"/>
    </w:rPr>
  </w:style>
  <w:style w:type="character" w:styleId="Strong">
    <w:name w:val="Strong"/>
    <w:basedOn w:val="DefaultParagraphFont"/>
    <w:uiPriority w:val="22"/>
    <w:qFormat/>
    <w:rsid w:val="00111B06"/>
    <w:rPr>
      <w:b/>
      <w:bCs/>
      <w:color w:val="2D3338"/>
    </w:rPr>
  </w:style>
  <w:style w:type="paragraph" w:styleId="IntenseQuote">
    <w:name w:val="Intense Quote"/>
    <w:basedOn w:val="Normal"/>
    <w:next w:val="Normal"/>
    <w:link w:val="IntenseQuoteChar"/>
    <w:uiPriority w:val="30"/>
    <w:qFormat/>
    <w:rsid w:val="00111B06"/>
    <w:pPr>
      <w:pBdr>
        <w:left w:val="single" w:sz="4" w:space="20" w:color="1F8B9D"/>
      </w:pBdr>
      <w:shd w:val="clear" w:color="auto" w:fill="F2F2F2" w:themeFill="background1" w:themeFillShade="F2"/>
      <w:spacing w:before="360" w:after="360"/>
      <w:ind w:left="864" w:right="864"/>
    </w:pPr>
    <w:rPr>
      <w:iCs/>
      <w:color w:val="00AEC7"/>
    </w:rPr>
  </w:style>
  <w:style w:type="character" w:customStyle="1" w:styleId="IntenseQuoteChar">
    <w:name w:val="Intense Quote Char"/>
    <w:basedOn w:val="DefaultParagraphFont"/>
    <w:link w:val="IntenseQuote"/>
    <w:uiPriority w:val="30"/>
    <w:rsid w:val="00111B06"/>
    <w:rPr>
      <w:rFonts w:ascii="Roboto" w:eastAsia="Microsoft Sans Serif" w:hAnsi="Roboto" w:cs="Microsoft Sans Serif"/>
      <w:iCs/>
      <w:color w:val="00AEC7"/>
      <w:sz w:val="26"/>
      <w:shd w:val="clear" w:color="auto" w:fill="F2F2F2" w:themeFill="background1" w:themeFillShade="F2"/>
    </w:rPr>
  </w:style>
  <w:style w:type="paragraph" w:customStyle="1" w:styleId="CoverTitle">
    <w:name w:val="Cover Title"/>
    <w:basedOn w:val="Normal"/>
    <w:qFormat/>
    <w:rsid w:val="00EC3D20"/>
    <w:pPr>
      <w:spacing w:after="160" w:line="259" w:lineRule="auto"/>
    </w:pPr>
    <w:rPr>
      <w:b/>
      <w:color w:val="2D3338" w:themeColor="text1"/>
      <w:sz w:val="48"/>
      <w:szCs w:val="56"/>
    </w:rPr>
  </w:style>
  <w:style w:type="character" w:styleId="IntenseReference">
    <w:name w:val="Intense Reference"/>
    <w:basedOn w:val="DefaultParagraphFont"/>
    <w:uiPriority w:val="32"/>
    <w:qFormat/>
    <w:rsid w:val="002D63BD"/>
    <w:rPr>
      <w:b/>
      <w:bCs/>
      <w:caps/>
      <w:smallCaps w:val="0"/>
      <w:color w:val="00AEC7" w:themeColor="accent1"/>
      <w:spacing w:val="5"/>
    </w:rPr>
  </w:style>
  <w:style w:type="character" w:styleId="BookTitle">
    <w:name w:val="Book Title"/>
    <w:basedOn w:val="DefaultParagraphFont"/>
    <w:uiPriority w:val="33"/>
    <w:qFormat/>
    <w:rsid w:val="002D63BD"/>
    <w:rPr>
      <w:b/>
      <w:bCs/>
      <w:i/>
      <w:iCs/>
      <w:color w:val="2D3338"/>
      <w:spacing w:val="5"/>
    </w:rPr>
  </w:style>
  <w:style w:type="paragraph" w:styleId="ListParagraph">
    <w:name w:val="List Paragraph"/>
    <w:basedOn w:val="Normal"/>
    <w:qFormat/>
    <w:rsid w:val="001467C4"/>
    <w:pPr>
      <w:spacing w:before="50" w:line="300" w:lineRule="auto"/>
      <w:ind w:left="994" w:hanging="288"/>
      <w:contextualSpacing/>
    </w:pPr>
  </w:style>
  <w:style w:type="character" w:styleId="SubtleReference">
    <w:name w:val="Subtle Reference"/>
    <w:basedOn w:val="DefaultParagraphFont"/>
    <w:uiPriority w:val="31"/>
    <w:qFormat/>
    <w:rsid w:val="000C6466"/>
    <w:rPr>
      <w:b/>
      <w:caps/>
      <w:smallCaps w:val="0"/>
      <w:color w:val="6D7B87" w:themeColor="text1" w:themeTint="A5"/>
    </w:rPr>
  </w:style>
  <w:style w:type="paragraph" w:styleId="Header">
    <w:name w:val="header"/>
    <w:basedOn w:val="Normal"/>
    <w:link w:val="HeaderChar"/>
    <w:uiPriority w:val="99"/>
    <w:unhideWhenUsed/>
    <w:rsid w:val="00342D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2DC6"/>
    <w:rPr>
      <w:rFonts w:ascii="Roboto" w:eastAsia="Microsoft Sans Serif" w:hAnsi="Roboto" w:cs="Microsoft Sans Serif"/>
      <w:color w:val="171A1C"/>
      <w:sz w:val="26"/>
    </w:rPr>
  </w:style>
  <w:style w:type="character" w:customStyle="1" w:styleId="Heading5Char">
    <w:name w:val="Heading 5 Char"/>
    <w:basedOn w:val="DefaultParagraphFont"/>
    <w:link w:val="Heading5"/>
    <w:uiPriority w:val="9"/>
    <w:rsid w:val="002871B9"/>
    <w:rPr>
      <w:rFonts w:ascii="Arial" w:eastAsiaTheme="majorEastAsia" w:hAnsi="Arial" w:cstheme="majorBidi"/>
      <w:color w:val="5B6770"/>
      <w:sz w:val="24"/>
    </w:rPr>
  </w:style>
  <w:style w:type="paragraph" w:customStyle="1" w:styleId="Notetext">
    <w:name w:val="Note text"/>
    <w:basedOn w:val="Normal"/>
    <w:rsid w:val="005B34C4"/>
    <w:pPr>
      <w:pBdr>
        <w:left w:val="single" w:sz="12" w:space="10" w:color="00AEC7" w:themeColor="accent1"/>
      </w:pBdr>
      <w:spacing w:after="0"/>
      <w:ind w:left="662"/>
    </w:pPr>
    <w:rPr>
      <w:color w:val="2D3338"/>
      <w:szCs w:val="24"/>
    </w:rPr>
  </w:style>
  <w:style w:type="paragraph" w:customStyle="1" w:styleId="TableHeaderTitle">
    <w:name w:val="Table Header Title"/>
    <w:basedOn w:val="Normal"/>
    <w:qFormat/>
    <w:rsid w:val="000823AE"/>
    <w:pPr>
      <w:spacing w:after="0" w:line="259" w:lineRule="auto"/>
      <w:ind w:left="47"/>
    </w:pPr>
    <w:rPr>
      <w:b/>
      <w:bCs/>
      <w:color w:val="FFFFFF"/>
      <w:szCs w:val="24"/>
    </w:rPr>
  </w:style>
  <w:style w:type="table" w:customStyle="1" w:styleId="ERCOTtable">
    <w:name w:val="ERCOT table"/>
    <w:basedOn w:val="TableNormal"/>
    <w:uiPriority w:val="99"/>
    <w:rsid w:val="007B400D"/>
    <w:pPr>
      <w:spacing w:before="3" w:after="3" w:line="240" w:lineRule="auto"/>
      <w:ind w:left="216" w:right="216"/>
    </w:pPr>
    <w:rPr>
      <w:rFonts w:ascii="Roboto" w:hAnsi="Roboto"/>
      <w:color w:val="2D3338"/>
    </w:rPr>
    <w:tblPr>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6" w:space="0" w:color="FFFFFF" w:themeColor="background1"/>
        <w:insideV w:val="single" w:sz="6" w:space="0" w:color="FFFFFF" w:themeColor="background1"/>
      </w:tblBorders>
    </w:tblPr>
    <w:tcPr>
      <w:shd w:val="clear" w:color="auto" w:fill="F2F2F2" w:themeFill="background1" w:themeFillShade="F2"/>
    </w:tcPr>
  </w:style>
  <w:style w:type="paragraph" w:styleId="TOCHeading">
    <w:name w:val="TOC Heading"/>
    <w:next w:val="Normal"/>
    <w:uiPriority w:val="39"/>
    <w:unhideWhenUsed/>
    <w:rsid w:val="0002156F"/>
    <w:pPr>
      <w:spacing w:before="240" w:after="0"/>
    </w:pPr>
    <w:rPr>
      <w:rFonts w:ascii="Arial" w:eastAsiaTheme="majorEastAsia" w:hAnsi="Arial" w:cstheme="majorBidi"/>
      <w:color w:val="2D3338" w:themeColor="text1"/>
      <w:sz w:val="52"/>
      <w:szCs w:val="32"/>
    </w:rPr>
  </w:style>
  <w:style w:type="paragraph" w:styleId="TOC2">
    <w:name w:val="toc 2"/>
    <w:basedOn w:val="Normal"/>
    <w:next w:val="Normal"/>
    <w:autoRedefine/>
    <w:uiPriority w:val="39"/>
    <w:unhideWhenUsed/>
    <w:rsid w:val="00524853"/>
    <w:pPr>
      <w:spacing w:after="0"/>
      <w:ind w:left="260"/>
    </w:pPr>
    <w:rPr>
      <w:rFonts w:asciiTheme="minorHAnsi" w:hAnsiTheme="minorHAnsi" w:cstheme="minorHAnsi"/>
      <w:b/>
      <w:bCs/>
      <w:sz w:val="22"/>
    </w:rPr>
  </w:style>
  <w:style w:type="paragraph" w:styleId="TOC1">
    <w:name w:val="toc 1"/>
    <w:basedOn w:val="Normal"/>
    <w:next w:val="Normal"/>
    <w:autoRedefine/>
    <w:uiPriority w:val="39"/>
    <w:unhideWhenUsed/>
    <w:qFormat/>
    <w:rsid w:val="00EC3D20"/>
    <w:pPr>
      <w:spacing w:after="0"/>
    </w:pPr>
    <w:rPr>
      <w:rFonts w:cstheme="minorHAnsi"/>
      <w:bCs/>
      <w:iCs/>
      <w:szCs w:val="24"/>
    </w:rPr>
  </w:style>
  <w:style w:type="paragraph" w:styleId="TOC3">
    <w:name w:val="toc 3"/>
    <w:basedOn w:val="Normal"/>
    <w:next w:val="Normal"/>
    <w:autoRedefine/>
    <w:uiPriority w:val="39"/>
    <w:unhideWhenUsed/>
    <w:rsid w:val="00524853"/>
    <w:pPr>
      <w:spacing w:after="0"/>
      <w:ind w:left="520"/>
    </w:pPr>
    <w:rPr>
      <w:rFonts w:asciiTheme="minorHAnsi" w:hAnsiTheme="minorHAnsi" w:cstheme="minorHAnsi"/>
      <w:sz w:val="20"/>
      <w:szCs w:val="20"/>
    </w:rPr>
  </w:style>
  <w:style w:type="character" w:styleId="Hyperlink">
    <w:name w:val="Hyperlink"/>
    <w:basedOn w:val="DefaultParagraphFont"/>
    <w:uiPriority w:val="99"/>
    <w:unhideWhenUsed/>
    <w:rsid w:val="001437F8"/>
    <w:rPr>
      <w:color w:val="1F8B9D" w:themeColor="accent6"/>
      <w:u w:val="single"/>
    </w:rPr>
  </w:style>
  <w:style w:type="character" w:styleId="UnresolvedMention">
    <w:name w:val="Unresolved Mention"/>
    <w:basedOn w:val="DefaultParagraphFont"/>
    <w:uiPriority w:val="99"/>
    <w:semiHidden/>
    <w:unhideWhenUsed/>
    <w:rsid w:val="00557CE1"/>
    <w:rPr>
      <w:color w:val="605E5C"/>
      <w:shd w:val="clear" w:color="auto" w:fill="E1DFDD"/>
    </w:rPr>
  </w:style>
  <w:style w:type="paragraph" w:styleId="NormalWeb">
    <w:name w:val="Normal (Web)"/>
    <w:basedOn w:val="Normal"/>
    <w:uiPriority w:val="99"/>
    <w:semiHidden/>
    <w:unhideWhenUsed/>
    <w:rsid w:val="00D965B9"/>
    <w:rPr>
      <w:rFonts w:ascii="Times New Roman" w:hAnsi="Times New Roman" w:cs="Times New Roman"/>
      <w:szCs w:val="24"/>
    </w:rPr>
  </w:style>
  <w:style w:type="paragraph" w:styleId="Revision">
    <w:name w:val="Revision"/>
    <w:hidden/>
    <w:uiPriority w:val="99"/>
    <w:semiHidden/>
    <w:rsid w:val="007C7D8B"/>
    <w:pPr>
      <w:spacing w:after="0" w:line="240" w:lineRule="auto"/>
    </w:pPr>
    <w:rPr>
      <w:rFonts w:ascii="Arial" w:eastAsia="Microsoft Sans Serif" w:hAnsi="Arial" w:cs="Microsoft Sans Serif"/>
      <w:color w:val="171A1C"/>
      <w:sz w:val="2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eastAsia="Microsoft Sans Serif" w:hAnsi="Arial" w:cs="Microsoft Sans Serif"/>
      <w:color w:val="171A1C"/>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TextRight">
    <w:name w:val="Text Right"/>
    <w:link w:val="TextRightChar"/>
    <w:rsid w:val="00B33829"/>
    <w:pPr>
      <w:ind w:left="3888"/>
    </w:pPr>
    <w:rPr>
      <w:rFonts w:ascii="Arial" w:eastAsia="Microsoft Sans Serif" w:hAnsi="Arial" w:cs="Microsoft Sans Serif"/>
      <w:color w:val="171A1C"/>
      <w:sz w:val="24"/>
    </w:rPr>
  </w:style>
  <w:style w:type="character" w:customStyle="1" w:styleId="TextRightChar">
    <w:name w:val="Text Right Char"/>
    <w:basedOn w:val="DefaultParagraphFont"/>
    <w:link w:val="TextRight"/>
    <w:rsid w:val="00B33829"/>
    <w:rPr>
      <w:rFonts w:ascii="Arial" w:eastAsia="Microsoft Sans Serif" w:hAnsi="Arial" w:cs="Microsoft Sans Serif"/>
      <w:color w:val="171A1C"/>
      <w:sz w:val="24"/>
    </w:rPr>
  </w:style>
  <w:style w:type="paragraph" w:styleId="BodyText">
    <w:name w:val="Body Text"/>
    <w:basedOn w:val="Normal"/>
    <w:link w:val="BodyTextChar"/>
    <w:uiPriority w:val="1"/>
    <w:qFormat/>
    <w:rsid w:val="004A1EB6"/>
    <w:pPr>
      <w:widowControl w:val="0"/>
      <w:autoSpaceDE w:val="0"/>
      <w:autoSpaceDN w:val="0"/>
      <w:spacing w:after="0" w:line="240" w:lineRule="auto"/>
    </w:pPr>
    <w:rPr>
      <w:rFonts w:eastAsia="Arial"/>
      <w:color w:val="auto"/>
      <w:sz w:val="20"/>
      <w:szCs w:val="20"/>
    </w:rPr>
  </w:style>
  <w:style w:type="character" w:customStyle="1" w:styleId="BodyTextChar">
    <w:name w:val="Body Text Char"/>
    <w:basedOn w:val="DefaultParagraphFont"/>
    <w:link w:val="BodyText"/>
    <w:uiPriority w:val="1"/>
    <w:rsid w:val="004A1EB6"/>
    <w:rPr>
      <w:rFonts w:ascii="Arial" w:eastAsia="Arial" w:hAnsi="Arial" w:cs="Arial"/>
      <w:sz w:val="20"/>
      <w:szCs w:val="20"/>
    </w:rPr>
  </w:style>
  <w:style w:type="paragraph" w:styleId="TOC4">
    <w:name w:val="toc 4"/>
    <w:basedOn w:val="Normal"/>
    <w:next w:val="Normal"/>
    <w:autoRedefine/>
    <w:uiPriority w:val="39"/>
    <w:unhideWhenUsed/>
    <w:rsid w:val="004A1EB6"/>
    <w:pPr>
      <w:spacing w:after="0"/>
      <w:ind w:left="780"/>
    </w:pPr>
    <w:rPr>
      <w:rFonts w:asciiTheme="minorHAnsi" w:hAnsiTheme="minorHAnsi" w:cstheme="minorHAnsi"/>
      <w:sz w:val="20"/>
      <w:szCs w:val="20"/>
    </w:rPr>
  </w:style>
  <w:style w:type="paragraph" w:styleId="TOC5">
    <w:name w:val="toc 5"/>
    <w:basedOn w:val="Normal"/>
    <w:next w:val="Normal"/>
    <w:autoRedefine/>
    <w:uiPriority w:val="39"/>
    <w:unhideWhenUsed/>
    <w:rsid w:val="004A1EB6"/>
    <w:pPr>
      <w:spacing w:after="0"/>
      <w:ind w:left="1040"/>
    </w:pPr>
    <w:rPr>
      <w:rFonts w:asciiTheme="minorHAnsi" w:hAnsiTheme="minorHAnsi" w:cstheme="minorHAnsi"/>
      <w:sz w:val="20"/>
      <w:szCs w:val="20"/>
    </w:rPr>
  </w:style>
  <w:style w:type="paragraph" w:styleId="TOC6">
    <w:name w:val="toc 6"/>
    <w:basedOn w:val="Normal"/>
    <w:next w:val="Normal"/>
    <w:autoRedefine/>
    <w:uiPriority w:val="39"/>
    <w:unhideWhenUsed/>
    <w:rsid w:val="004A1EB6"/>
    <w:pPr>
      <w:spacing w:after="0"/>
      <w:ind w:left="1300"/>
    </w:pPr>
    <w:rPr>
      <w:rFonts w:asciiTheme="minorHAnsi" w:hAnsiTheme="minorHAnsi" w:cstheme="minorHAnsi"/>
      <w:sz w:val="20"/>
      <w:szCs w:val="20"/>
    </w:rPr>
  </w:style>
  <w:style w:type="paragraph" w:styleId="TOC7">
    <w:name w:val="toc 7"/>
    <w:basedOn w:val="Normal"/>
    <w:next w:val="Normal"/>
    <w:autoRedefine/>
    <w:uiPriority w:val="39"/>
    <w:unhideWhenUsed/>
    <w:rsid w:val="004A1EB6"/>
    <w:pPr>
      <w:spacing w:after="0"/>
      <w:ind w:left="1560"/>
    </w:pPr>
    <w:rPr>
      <w:rFonts w:asciiTheme="minorHAnsi" w:hAnsiTheme="minorHAnsi" w:cstheme="minorHAnsi"/>
      <w:sz w:val="20"/>
      <w:szCs w:val="20"/>
    </w:rPr>
  </w:style>
  <w:style w:type="paragraph" w:styleId="TOC8">
    <w:name w:val="toc 8"/>
    <w:basedOn w:val="Normal"/>
    <w:next w:val="Normal"/>
    <w:autoRedefine/>
    <w:uiPriority w:val="39"/>
    <w:unhideWhenUsed/>
    <w:rsid w:val="004A1EB6"/>
    <w:pPr>
      <w:spacing w:after="0"/>
      <w:ind w:left="1820"/>
    </w:pPr>
    <w:rPr>
      <w:rFonts w:asciiTheme="minorHAnsi" w:hAnsiTheme="minorHAnsi" w:cstheme="minorHAnsi"/>
      <w:sz w:val="20"/>
      <w:szCs w:val="20"/>
    </w:rPr>
  </w:style>
  <w:style w:type="paragraph" w:styleId="TOC9">
    <w:name w:val="toc 9"/>
    <w:basedOn w:val="Normal"/>
    <w:next w:val="Normal"/>
    <w:autoRedefine/>
    <w:uiPriority w:val="39"/>
    <w:unhideWhenUsed/>
    <w:rsid w:val="004A1EB6"/>
    <w:pPr>
      <w:spacing w:after="0"/>
      <w:ind w:left="2080"/>
    </w:pPr>
    <w:rPr>
      <w:rFonts w:asciiTheme="minorHAnsi" w:hAnsiTheme="minorHAnsi" w:cstheme="minorHAnsi"/>
      <w:sz w:val="20"/>
      <w:szCs w:val="20"/>
    </w:rPr>
  </w:style>
  <w:style w:type="table" w:styleId="TableGrid0">
    <w:name w:val="Table Grid"/>
    <w:basedOn w:val="TableNormal"/>
    <w:uiPriority w:val="39"/>
    <w:rsid w:val="00A1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042D5"/>
    <w:pPr>
      <w:widowControl w:val="0"/>
      <w:autoSpaceDE w:val="0"/>
      <w:autoSpaceDN w:val="0"/>
      <w:spacing w:before="183" w:after="0" w:line="240" w:lineRule="auto"/>
      <w:ind w:left="27"/>
      <w:jc w:val="center"/>
    </w:pPr>
    <w:rPr>
      <w:rFonts w:eastAsia="Arial"/>
      <w:color w:val="auto"/>
      <w:sz w:val="22"/>
    </w:rPr>
  </w:style>
  <w:style w:type="table" w:customStyle="1" w:styleId="Style1">
    <w:name w:val="Style1"/>
    <w:basedOn w:val="TableNormal"/>
    <w:uiPriority w:val="99"/>
    <w:rsid w:val="006042D5"/>
    <w:pPr>
      <w:spacing w:after="0" w:line="240" w:lineRule="auto"/>
    </w:pPr>
    <w:tblPr/>
  </w:style>
  <w:style w:type="paragraph" w:customStyle="1" w:styleId="Heading2Right">
    <w:name w:val="Heading 2 Right"/>
    <w:basedOn w:val="Heading2"/>
    <w:link w:val="Heading2RightChar"/>
    <w:rsid w:val="009B6F4F"/>
    <w:pPr>
      <w:ind w:left="3902"/>
    </w:pPr>
  </w:style>
  <w:style w:type="character" w:customStyle="1" w:styleId="Heading2RightChar">
    <w:name w:val="Heading 2 Right Char"/>
    <w:basedOn w:val="Heading2Char"/>
    <w:link w:val="Heading2Right"/>
    <w:rsid w:val="009B6F4F"/>
    <w:rPr>
      <w:rFonts w:ascii="Arial" w:eastAsia="Microsoft Sans Serif" w:hAnsi="Arial" w:cs="Microsoft Sans Serif"/>
      <w:b/>
      <w:color w:val="12171D" w:themeColor="background2" w:themeShade="1A"/>
      <w:sz w:val="44"/>
    </w:rPr>
  </w:style>
  <w:style w:type="paragraph" w:customStyle="1" w:styleId="KeyTakeaway">
    <w:name w:val="Key Takeaway"/>
    <w:basedOn w:val="Heading3"/>
    <w:link w:val="KeyTakeawayChar"/>
    <w:rsid w:val="00932008"/>
    <w:pPr>
      <w:ind w:left="2070" w:firstLine="0"/>
    </w:pPr>
    <w:rPr>
      <w:color w:val="FFFFFF" w:themeColor="background1"/>
      <w:sz w:val="40"/>
      <w:szCs w:val="60"/>
    </w:rPr>
  </w:style>
  <w:style w:type="character" w:customStyle="1" w:styleId="KeyTakeawayChar">
    <w:name w:val="Key Takeaway Char"/>
    <w:basedOn w:val="Heading3Char"/>
    <w:link w:val="KeyTakeaway"/>
    <w:rsid w:val="00932008"/>
    <w:rPr>
      <w:rFonts w:ascii="Arial" w:eastAsia="Microsoft Sans Serif" w:hAnsi="Arial" w:cs="Microsoft Sans Serif"/>
      <w:b/>
      <w:caps/>
      <w:color w:val="FFFFFF" w:themeColor="background1"/>
      <w:sz w:val="40"/>
      <w:szCs w:val="60"/>
    </w:rPr>
  </w:style>
  <w:style w:type="paragraph" w:customStyle="1" w:styleId="Heading3Left">
    <w:name w:val="Heading 3 Left"/>
    <w:basedOn w:val="Heading3"/>
    <w:link w:val="Heading3LeftChar"/>
    <w:rsid w:val="003518FF"/>
    <w:pPr>
      <w:ind w:left="28"/>
    </w:pPr>
  </w:style>
  <w:style w:type="character" w:customStyle="1" w:styleId="Heading3LeftChar">
    <w:name w:val="Heading 3 Left Char"/>
    <w:basedOn w:val="Heading3Char"/>
    <w:link w:val="Heading3Left"/>
    <w:rsid w:val="003518FF"/>
    <w:rPr>
      <w:rFonts w:ascii="Arial" w:eastAsia="Microsoft Sans Serif" w:hAnsi="Arial" w:cs="Microsoft Sans Serif"/>
      <w:b/>
      <w:caps/>
      <w:color w:val="12171D" w:themeColor="background2" w:themeShade="1A"/>
      <w:sz w:val="32"/>
    </w:rPr>
  </w:style>
  <w:style w:type="paragraph" w:customStyle="1" w:styleId="KeyTakeawayBox">
    <w:name w:val="Key Takeaway Box"/>
    <w:basedOn w:val="Normal"/>
    <w:link w:val="KeyTakeawayBoxChar"/>
    <w:qFormat/>
    <w:rsid w:val="00E168A2"/>
    <w:pPr>
      <w:pBdr>
        <w:top w:val="single" w:sz="4" w:space="15" w:color="00AEC7" w:themeColor="accent1"/>
        <w:left w:val="single" w:sz="4" w:space="10" w:color="00AEC7" w:themeColor="accent1"/>
        <w:bottom w:val="single" w:sz="4" w:space="15" w:color="00AEC7" w:themeColor="accent1"/>
        <w:right w:val="single" w:sz="4" w:space="10" w:color="00AEC7" w:themeColor="accent1"/>
      </w:pBdr>
      <w:shd w:val="clear" w:color="auto" w:fill="C9EEF4" w:themeFill="accent6" w:themeFillTint="33"/>
      <w:suppressAutoHyphens/>
      <w:spacing w:before="40"/>
      <w:ind w:left="1944" w:right="216" w:hanging="1728"/>
      <w:contextualSpacing/>
    </w:pPr>
  </w:style>
  <w:style w:type="character" w:customStyle="1" w:styleId="KeyTakeawayBoxChar">
    <w:name w:val="Key Takeaway Box Char"/>
    <w:basedOn w:val="DefaultParagraphFont"/>
    <w:link w:val="KeyTakeawayBox"/>
    <w:rsid w:val="00E168A2"/>
    <w:rPr>
      <w:rFonts w:ascii="Arial" w:eastAsia="Microsoft Sans Serif" w:hAnsi="Arial" w:cs="Microsoft Sans Serif"/>
      <w:color w:val="171A1C"/>
      <w:sz w:val="24"/>
      <w:shd w:val="clear" w:color="auto" w:fill="C9EEF4" w:themeFill="accent6" w:themeFillTint="33"/>
    </w:rPr>
  </w:style>
  <w:style w:type="paragraph" w:customStyle="1" w:styleId="tablehead">
    <w:name w:val="table head"/>
    <w:basedOn w:val="BodyText"/>
    <w:rsid w:val="002E4151"/>
    <w:pPr>
      <w:widowControl/>
      <w:autoSpaceDE/>
      <w:autoSpaceDN/>
      <w:spacing w:before="20" w:after="20" w:line="240" w:lineRule="exact"/>
    </w:pPr>
    <w:rPr>
      <w:rFonts w:eastAsia="Times New Roman" w:cs="Times New Roman"/>
      <w:b/>
      <w:color w:val="7C858C" w:themeColor="accent2"/>
      <w:sz w:val="18"/>
      <w:szCs w:val="24"/>
    </w:rPr>
  </w:style>
  <w:style w:type="paragraph" w:customStyle="1" w:styleId="table">
    <w:name w:val="table"/>
    <w:basedOn w:val="BodyText"/>
    <w:rsid w:val="002E4151"/>
    <w:pPr>
      <w:widowControl/>
      <w:autoSpaceDE/>
      <w:autoSpaceDN/>
      <w:spacing w:before="20" w:after="20" w:line="240" w:lineRule="exact"/>
    </w:pPr>
    <w:rPr>
      <w:rFonts w:eastAsia="Times New Roman" w:cs="Times New Roman"/>
      <w:color w:val="7C858C" w:themeColor="accent2"/>
      <w:sz w:val="18"/>
      <w:szCs w:val="24"/>
    </w:rPr>
  </w:style>
  <w:style w:type="table" w:styleId="GridTable4-Accent2">
    <w:name w:val="Grid Table 4 Accent 2"/>
    <w:basedOn w:val="TableNormal"/>
    <w:uiPriority w:val="49"/>
    <w:rsid w:val="002E4151"/>
    <w:pPr>
      <w:spacing w:after="0" w:line="240" w:lineRule="auto"/>
    </w:pPr>
    <w:tblPr>
      <w:tblStyleRowBandSize w:val="1"/>
      <w:tblStyleColBandSize w:val="1"/>
      <w:tblBorders>
        <w:top w:val="single" w:sz="4" w:space="0" w:color="B0B5BA" w:themeColor="accent2" w:themeTint="99"/>
        <w:left w:val="single" w:sz="4" w:space="0" w:color="B0B5BA" w:themeColor="accent2" w:themeTint="99"/>
        <w:bottom w:val="single" w:sz="4" w:space="0" w:color="B0B5BA" w:themeColor="accent2" w:themeTint="99"/>
        <w:right w:val="single" w:sz="4" w:space="0" w:color="B0B5BA" w:themeColor="accent2" w:themeTint="99"/>
        <w:insideH w:val="single" w:sz="4" w:space="0" w:color="B0B5BA" w:themeColor="accent2" w:themeTint="99"/>
        <w:insideV w:val="single" w:sz="4" w:space="0" w:color="B0B5BA" w:themeColor="accent2" w:themeTint="99"/>
      </w:tblBorders>
    </w:tblPr>
    <w:tblStylePr w:type="firstRow">
      <w:rPr>
        <w:b/>
        <w:bCs/>
        <w:color w:val="FFFFFF" w:themeColor="background1"/>
      </w:rPr>
      <w:tblPr/>
      <w:tcPr>
        <w:tcBorders>
          <w:top w:val="single" w:sz="4" w:space="0" w:color="7C858C" w:themeColor="accent2"/>
          <w:left w:val="single" w:sz="4" w:space="0" w:color="7C858C" w:themeColor="accent2"/>
          <w:bottom w:val="single" w:sz="4" w:space="0" w:color="7C858C" w:themeColor="accent2"/>
          <w:right w:val="single" w:sz="4" w:space="0" w:color="7C858C" w:themeColor="accent2"/>
          <w:insideH w:val="nil"/>
          <w:insideV w:val="nil"/>
        </w:tcBorders>
        <w:shd w:val="clear" w:color="auto" w:fill="7C858C" w:themeFill="accent2"/>
      </w:tcPr>
    </w:tblStylePr>
    <w:tblStylePr w:type="lastRow">
      <w:rPr>
        <w:b/>
        <w:bCs/>
      </w:rPr>
      <w:tblPr/>
      <w:tcPr>
        <w:tcBorders>
          <w:top w:val="double" w:sz="4" w:space="0" w:color="7C858C" w:themeColor="accent2"/>
        </w:tcBorders>
      </w:tcPr>
    </w:tblStylePr>
    <w:tblStylePr w:type="firstCol">
      <w:rPr>
        <w:b/>
        <w:bCs/>
      </w:rPr>
    </w:tblStylePr>
    <w:tblStylePr w:type="lastCol">
      <w:rPr>
        <w:b/>
        <w:bCs/>
      </w:rPr>
    </w:tblStylePr>
    <w:tblStylePr w:type="band1Vert">
      <w:tblPr/>
      <w:tcPr>
        <w:shd w:val="clear" w:color="auto" w:fill="E4E6E8" w:themeFill="accent2" w:themeFillTint="33"/>
      </w:tcPr>
    </w:tblStylePr>
    <w:tblStylePr w:type="band1Horz">
      <w:tblPr/>
      <w:tcPr>
        <w:shd w:val="clear" w:color="auto" w:fill="E4E6E8" w:themeFill="accent2" w:themeFillTint="33"/>
      </w:tcPr>
    </w:tblStylePr>
  </w:style>
  <w:style w:type="table" w:styleId="PlainTable4">
    <w:name w:val="Plain Table 4"/>
    <w:basedOn w:val="ERCOTtable"/>
    <w:uiPriority w:val="44"/>
    <w:rsid w:val="006A6F0A"/>
    <w:pPr>
      <w:spacing w:after="0"/>
    </w:pPr>
    <w:rPr>
      <w:rFonts w:ascii="Arial" w:hAnsi="Arial"/>
      <w:sz w:val="20"/>
    </w:rPr>
    <w:tblPr>
      <w:tblStyleRowBandSize w:val="1"/>
      <w:tblStyleColBandSize w:val="1"/>
      <w:tblBorders>
        <w:top w:val="single" w:sz="4" w:space="0" w:color="C9EEF4" w:themeColor="accent6" w:themeTint="33"/>
        <w:left w:val="single" w:sz="4" w:space="0" w:color="C9EEF4" w:themeColor="accent6" w:themeTint="33"/>
        <w:bottom w:val="single" w:sz="4" w:space="0" w:color="C9EEF4" w:themeColor="accent6" w:themeTint="33"/>
        <w:right w:val="single" w:sz="4" w:space="0" w:color="C9EEF4" w:themeColor="accent6" w:themeTint="33"/>
        <w:insideH w:val="single" w:sz="4" w:space="0" w:color="C9EEF4" w:themeColor="accent6" w:themeTint="33"/>
        <w:insideV w:val="single" w:sz="4" w:space="0" w:color="C9EEF4" w:themeColor="accent6" w:themeTint="33"/>
      </w:tblBorders>
    </w:tblPr>
    <w:tblStylePr w:type="firstRow">
      <w:pPr>
        <w:jc w:val="left"/>
      </w:pPr>
      <w:rPr>
        <w:rFonts w:ascii="Arial" w:hAnsi="Arial"/>
        <w:b w:val="0"/>
        <w:bCs/>
        <w:sz w:val="16"/>
      </w:rPr>
      <w:tblPr/>
      <w:tcPr>
        <w:tcBorders>
          <w:top w:val="nil"/>
          <w:left w:val="nil"/>
          <w:bottom w:val="nil"/>
          <w:right w:val="nil"/>
          <w:insideH w:val="nil"/>
          <w:insideV w:val="nil"/>
          <w:tl2br w:val="nil"/>
          <w:tr2bl w:val="nil"/>
        </w:tcBorders>
        <w:shd w:val="clear" w:color="auto" w:fill="0F454E" w:themeFill="accent6" w:themeFillShade="80"/>
      </w:tcPr>
    </w:tblStylePr>
    <w:tblStylePr w:type="lastRow">
      <w:pPr>
        <w:jc w:val="left"/>
      </w:pPr>
      <w:rPr>
        <w:b/>
        <w:bCs/>
      </w:rPr>
      <w:tblPr/>
      <w:tcPr>
        <w:vAlign w:val="center"/>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FFFFF" w:themeFill="background1"/>
      </w:tcPr>
    </w:tblStylePr>
  </w:style>
  <w:style w:type="paragraph" w:customStyle="1" w:styleId="BulletIndent">
    <w:name w:val="Bullet Indent"/>
    <w:basedOn w:val="Normal"/>
    <w:rsid w:val="003F5BB4"/>
    <w:pPr>
      <w:spacing w:after="0" w:line="240" w:lineRule="auto"/>
    </w:pPr>
    <w:rPr>
      <w:rFonts w:ascii="Times New Roman" w:eastAsia="Times New Roman" w:hAnsi="Times New Roman" w:cs="Times New Roman"/>
      <w:color w:val="auto"/>
      <w:szCs w:val="20"/>
    </w:rPr>
  </w:style>
  <w:style w:type="paragraph" w:customStyle="1" w:styleId="NormalforTable">
    <w:name w:val="Normal for Table"/>
    <w:basedOn w:val="Normal"/>
    <w:link w:val="NormalforTableChar"/>
    <w:qFormat/>
    <w:rsid w:val="00342A2D"/>
    <w:pPr>
      <w:spacing w:before="0" w:after="0"/>
    </w:pPr>
    <w:rPr>
      <w:b/>
      <w:bCs/>
    </w:rPr>
  </w:style>
  <w:style w:type="character" w:customStyle="1" w:styleId="NormalforTableChar">
    <w:name w:val="Normal for Table Char"/>
    <w:basedOn w:val="DefaultParagraphFont"/>
    <w:link w:val="NormalforTable"/>
    <w:rsid w:val="00342A2D"/>
    <w:rPr>
      <w:rFonts w:ascii="Arial" w:eastAsia="Microsoft Sans Serif" w:hAnsi="Arial" w:cs="Arial"/>
      <w:b/>
      <w:bCs/>
      <w:color w:val="171A1C"/>
      <w:sz w:val="24"/>
    </w:rPr>
  </w:style>
  <w:style w:type="table" w:styleId="GridTable1Light-Accent2">
    <w:name w:val="Grid Table 1 Light Accent 2"/>
    <w:basedOn w:val="TableNormal"/>
    <w:uiPriority w:val="46"/>
    <w:rsid w:val="00046EA1"/>
    <w:pPr>
      <w:spacing w:after="0" w:line="240" w:lineRule="auto"/>
    </w:pPr>
    <w:tblPr>
      <w:tblStyleRowBandSize w:val="1"/>
      <w:tblStyleColBandSize w:val="1"/>
      <w:tblBorders>
        <w:top w:val="single" w:sz="4" w:space="0" w:color="CACED1" w:themeColor="accent2" w:themeTint="66"/>
        <w:left w:val="single" w:sz="4" w:space="0" w:color="CACED1" w:themeColor="accent2" w:themeTint="66"/>
        <w:bottom w:val="single" w:sz="4" w:space="0" w:color="CACED1" w:themeColor="accent2" w:themeTint="66"/>
        <w:right w:val="single" w:sz="4" w:space="0" w:color="CACED1" w:themeColor="accent2" w:themeTint="66"/>
        <w:insideH w:val="single" w:sz="4" w:space="0" w:color="CACED1" w:themeColor="accent2" w:themeTint="66"/>
        <w:insideV w:val="single" w:sz="4" w:space="0" w:color="CACED1" w:themeColor="accent2" w:themeTint="66"/>
      </w:tblBorders>
    </w:tblPr>
    <w:tblStylePr w:type="firstRow">
      <w:rPr>
        <w:b/>
        <w:bCs/>
      </w:rPr>
      <w:tblPr/>
      <w:tcPr>
        <w:tcBorders>
          <w:bottom w:val="single" w:sz="12" w:space="0" w:color="B0B5BA" w:themeColor="accent2" w:themeTint="99"/>
        </w:tcBorders>
      </w:tcPr>
    </w:tblStylePr>
    <w:tblStylePr w:type="lastRow">
      <w:rPr>
        <w:b/>
        <w:bCs/>
      </w:rPr>
      <w:tblPr/>
      <w:tcPr>
        <w:tcBorders>
          <w:top w:val="double" w:sz="2" w:space="0" w:color="B0B5BA" w:themeColor="accent2"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uiPriority w:val="99"/>
    <w:semiHidden/>
    <w:unhideWhenUsed/>
    <w:rsid w:val="00B136BE"/>
    <w:rPr>
      <w:b/>
      <w:bCs/>
    </w:rPr>
  </w:style>
  <w:style w:type="character" w:customStyle="1" w:styleId="CommentSubjectChar">
    <w:name w:val="Comment Subject Char"/>
    <w:basedOn w:val="CommentTextChar"/>
    <w:link w:val="CommentSubject"/>
    <w:uiPriority w:val="99"/>
    <w:semiHidden/>
    <w:rsid w:val="00B136BE"/>
    <w:rPr>
      <w:rFonts w:ascii="Arial" w:eastAsia="Microsoft Sans Serif" w:hAnsi="Arial" w:cs="Arial"/>
      <w:b/>
      <w:bCs/>
      <w:color w:val="171A1C"/>
      <w:sz w:val="20"/>
      <w:szCs w:val="20"/>
    </w:rPr>
  </w:style>
  <w:style w:type="character" w:styleId="FollowedHyperlink">
    <w:name w:val="FollowedHyperlink"/>
    <w:basedOn w:val="DefaultParagraphFont"/>
    <w:uiPriority w:val="99"/>
    <w:semiHidden/>
    <w:unhideWhenUsed/>
    <w:rsid w:val="00C56F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9">
      <w:bodyDiv w:val="1"/>
      <w:marLeft w:val="0"/>
      <w:marRight w:val="0"/>
      <w:marTop w:val="0"/>
      <w:marBottom w:val="0"/>
      <w:divBdr>
        <w:top w:val="none" w:sz="0" w:space="0" w:color="auto"/>
        <w:left w:val="none" w:sz="0" w:space="0" w:color="auto"/>
        <w:bottom w:val="none" w:sz="0" w:space="0" w:color="auto"/>
        <w:right w:val="none" w:sz="0" w:space="0" w:color="auto"/>
      </w:divBdr>
    </w:div>
    <w:div w:id="147287211">
      <w:bodyDiv w:val="1"/>
      <w:marLeft w:val="0"/>
      <w:marRight w:val="0"/>
      <w:marTop w:val="0"/>
      <w:marBottom w:val="0"/>
      <w:divBdr>
        <w:top w:val="none" w:sz="0" w:space="0" w:color="auto"/>
        <w:left w:val="none" w:sz="0" w:space="0" w:color="auto"/>
        <w:bottom w:val="none" w:sz="0" w:space="0" w:color="auto"/>
        <w:right w:val="none" w:sz="0" w:space="0" w:color="auto"/>
      </w:divBdr>
    </w:div>
    <w:div w:id="171843272">
      <w:bodyDiv w:val="1"/>
      <w:marLeft w:val="0"/>
      <w:marRight w:val="0"/>
      <w:marTop w:val="0"/>
      <w:marBottom w:val="0"/>
      <w:divBdr>
        <w:top w:val="none" w:sz="0" w:space="0" w:color="auto"/>
        <w:left w:val="none" w:sz="0" w:space="0" w:color="auto"/>
        <w:bottom w:val="none" w:sz="0" w:space="0" w:color="auto"/>
        <w:right w:val="none" w:sz="0" w:space="0" w:color="auto"/>
      </w:divBdr>
    </w:div>
    <w:div w:id="282735640">
      <w:bodyDiv w:val="1"/>
      <w:marLeft w:val="0"/>
      <w:marRight w:val="0"/>
      <w:marTop w:val="0"/>
      <w:marBottom w:val="0"/>
      <w:divBdr>
        <w:top w:val="none" w:sz="0" w:space="0" w:color="auto"/>
        <w:left w:val="none" w:sz="0" w:space="0" w:color="auto"/>
        <w:bottom w:val="none" w:sz="0" w:space="0" w:color="auto"/>
        <w:right w:val="none" w:sz="0" w:space="0" w:color="auto"/>
      </w:divBdr>
    </w:div>
    <w:div w:id="294336144">
      <w:bodyDiv w:val="1"/>
      <w:marLeft w:val="0"/>
      <w:marRight w:val="0"/>
      <w:marTop w:val="0"/>
      <w:marBottom w:val="0"/>
      <w:divBdr>
        <w:top w:val="none" w:sz="0" w:space="0" w:color="auto"/>
        <w:left w:val="none" w:sz="0" w:space="0" w:color="auto"/>
        <w:bottom w:val="none" w:sz="0" w:space="0" w:color="auto"/>
        <w:right w:val="none" w:sz="0" w:space="0" w:color="auto"/>
      </w:divBdr>
    </w:div>
    <w:div w:id="526989490">
      <w:bodyDiv w:val="1"/>
      <w:marLeft w:val="0"/>
      <w:marRight w:val="0"/>
      <w:marTop w:val="0"/>
      <w:marBottom w:val="0"/>
      <w:divBdr>
        <w:top w:val="none" w:sz="0" w:space="0" w:color="auto"/>
        <w:left w:val="none" w:sz="0" w:space="0" w:color="auto"/>
        <w:bottom w:val="none" w:sz="0" w:space="0" w:color="auto"/>
        <w:right w:val="none" w:sz="0" w:space="0" w:color="auto"/>
      </w:divBdr>
    </w:div>
    <w:div w:id="567496341">
      <w:bodyDiv w:val="1"/>
      <w:marLeft w:val="0"/>
      <w:marRight w:val="0"/>
      <w:marTop w:val="0"/>
      <w:marBottom w:val="0"/>
      <w:divBdr>
        <w:top w:val="none" w:sz="0" w:space="0" w:color="auto"/>
        <w:left w:val="none" w:sz="0" w:space="0" w:color="auto"/>
        <w:bottom w:val="none" w:sz="0" w:space="0" w:color="auto"/>
        <w:right w:val="none" w:sz="0" w:space="0" w:color="auto"/>
      </w:divBdr>
    </w:div>
    <w:div w:id="695737258">
      <w:bodyDiv w:val="1"/>
      <w:marLeft w:val="0"/>
      <w:marRight w:val="0"/>
      <w:marTop w:val="0"/>
      <w:marBottom w:val="0"/>
      <w:divBdr>
        <w:top w:val="none" w:sz="0" w:space="0" w:color="auto"/>
        <w:left w:val="none" w:sz="0" w:space="0" w:color="auto"/>
        <w:bottom w:val="none" w:sz="0" w:space="0" w:color="auto"/>
        <w:right w:val="none" w:sz="0" w:space="0" w:color="auto"/>
      </w:divBdr>
    </w:div>
    <w:div w:id="721249586">
      <w:bodyDiv w:val="1"/>
      <w:marLeft w:val="0"/>
      <w:marRight w:val="0"/>
      <w:marTop w:val="0"/>
      <w:marBottom w:val="0"/>
      <w:divBdr>
        <w:top w:val="none" w:sz="0" w:space="0" w:color="auto"/>
        <w:left w:val="none" w:sz="0" w:space="0" w:color="auto"/>
        <w:bottom w:val="none" w:sz="0" w:space="0" w:color="auto"/>
        <w:right w:val="none" w:sz="0" w:space="0" w:color="auto"/>
      </w:divBdr>
    </w:div>
    <w:div w:id="723602020">
      <w:bodyDiv w:val="1"/>
      <w:marLeft w:val="0"/>
      <w:marRight w:val="0"/>
      <w:marTop w:val="0"/>
      <w:marBottom w:val="0"/>
      <w:divBdr>
        <w:top w:val="none" w:sz="0" w:space="0" w:color="auto"/>
        <w:left w:val="none" w:sz="0" w:space="0" w:color="auto"/>
        <w:bottom w:val="none" w:sz="0" w:space="0" w:color="auto"/>
        <w:right w:val="none" w:sz="0" w:space="0" w:color="auto"/>
      </w:divBdr>
    </w:div>
    <w:div w:id="859441242">
      <w:bodyDiv w:val="1"/>
      <w:marLeft w:val="0"/>
      <w:marRight w:val="0"/>
      <w:marTop w:val="0"/>
      <w:marBottom w:val="0"/>
      <w:divBdr>
        <w:top w:val="none" w:sz="0" w:space="0" w:color="auto"/>
        <w:left w:val="none" w:sz="0" w:space="0" w:color="auto"/>
        <w:bottom w:val="none" w:sz="0" w:space="0" w:color="auto"/>
        <w:right w:val="none" w:sz="0" w:space="0" w:color="auto"/>
      </w:divBdr>
    </w:div>
    <w:div w:id="918832913">
      <w:bodyDiv w:val="1"/>
      <w:marLeft w:val="0"/>
      <w:marRight w:val="0"/>
      <w:marTop w:val="0"/>
      <w:marBottom w:val="0"/>
      <w:divBdr>
        <w:top w:val="none" w:sz="0" w:space="0" w:color="auto"/>
        <w:left w:val="none" w:sz="0" w:space="0" w:color="auto"/>
        <w:bottom w:val="none" w:sz="0" w:space="0" w:color="auto"/>
        <w:right w:val="none" w:sz="0" w:space="0" w:color="auto"/>
      </w:divBdr>
    </w:div>
    <w:div w:id="970861214">
      <w:bodyDiv w:val="1"/>
      <w:marLeft w:val="0"/>
      <w:marRight w:val="0"/>
      <w:marTop w:val="0"/>
      <w:marBottom w:val="0"/>
      <w:divBdr>
        <w:top w:val="none" w:sz="0" w:space="0" w:color="auto"/>
        <w:left w:val="none" w:sz="0" w:space="0" w:color="auto"/>
        <w:bottom w:val="none" w:sz="0" w:space="0" w:color="auto"/>
        <w:right w:val="none" w:sz="0" w:space="0" w:color="auto"/>
      </w:divBdr>
    </w:div>
    <w:div w:id="1557542159">
      <w:bodyDiv w:val="1"/>
      <w:marLeft w:val="0"/>
      <w:marRight w:val="0"/>
      <w:marTop w:val="0"/>
      <w:marBottom w:val="0"/>
      <w:divBdr>
        <w:top w:val="none" w:sz="0" w:space="0" w:color="auto"/>
        <w:left w:val="none" w:sz="0" w:space="0" w:color="auto"/>
        <w:bottom w:val="none" w:sz="0" w:space="0" w:color="auto"/>
        <w:right w:val="none" w:sz="0" w:space="0" w:color="auto"/>
      </w:divBdr>
    </w:div>
    <w:div w:id="1643655225">
      <w:bodyDiv w:val="1"/>
      <w:marLeft w:val="0"/>
      <w:marRight w:val="0"/>
      <w:marTop w:val="0"/>
      <w:marBottom w:val="0"/>
      <w:divBdr>
        <w:top w:val="none" w:sz="0" w:space="0" w:color="auto"/>
        <w:left w:val="none" w:sz="0" w:space="0" w:color="auto"/>
        <w:bottom w:val="none" w:sz="0" w:space="0" w:color="auto"/>
        <w:right w:val="none" w:sz="0" w:space="0" w:color="auto"/>
      </w:divBdr>
    </w:div>
    <w:div w:id="1671253694">
      <w:bodyDiv w:val="1"/>
      <w:marLeft w:val="0"/>
      <w:marRight w:val="0"/>
      <w:marTop w:val="0"/>
      <w:marBottom w:val="0"/>
      <w:divBdr>
        <w:top w:val="none" w:sz="0" w:space="0" w:color="auto"/>
        <w:left w:val="none" w:sz="0" w:space="0" w:color="auto"/>
        <w:bottom w:val="none" w:sz="0" w:space="0" w:color="auto"/>
        <w:right w:val="none" w:sz="0" w:space="0" w:color="auto"/>
      </w:divBdr>
    </w:div>
    <w:div w:id="1693796654">
      <w:bodyDiv w:val="1"/>
      <w:marLeft w:val="0"/>
      <w:marRight w:val="0"/>
      <w:marTop w:val="0"/>
      <w:marBottom w:val="0"/>
      <w:divBdr>
        <w:top w:val="none" w:sz="0" w:space="0" w:color="auto"/>
        <w:left w:val="none" w:sz="0" w:space="0" w:color="auto"/>
        <w:bottom w:val="none" w:sz="0" w:space="0" w:color="auto"/>
        <w:right w:val="none" w:sz="0" w:space="0" w:color="auto"/>
      </w:divBdr>
    </w:div>
    <w:div w:id="1724980899">
      <w:bodyDiv w:val="1"/>
      <w:marLeft w:val="0"/>
      <w:marRight w:val="0"/>
      <w:marTop w:val="0"/>
      <w:marBottom w:val="0"/>
      <w:divBdr>
        <w:top w:val="none" w:sz="0" w:space="0" w:color="auto"/>
        <w:left w:val="none" w:sz="0" w:space="0" w:color="auto"/>
        <w:bottom w:val="none" w:sz="0" w:space="0" w:color="auto"/>
        <w:right w:val="none" w:sz="0" w:space="0" w:color="auto"/>
      </w:divBdr>
    </w:div>
    <w:div w:id="1751731476">
      <w:bodyDiv w:val="1"/>
      <w:marLeft w:val="0"/>
      <w:marRight w:val="0"/>
      <w:marTop w:val="0"/>
      <w:marBottom w:val="0"/>
      <w:divBdr>
        <w:top w:val="none" w:sz="0" w:space="0" w:color="auto"/>
        <w:left w:val="none" w:sz="0" w:space="0" w:color="auto"/>
        <w:bottom w:val="none" w:sz="0" w:space="0" w:color="auto"/>
        <w:right w:val="none" w:sz="0" w:space="0" w:color="auto"/>
      </w:divBdr>
    </w:div>
    <w:div w:id="1840533661">
      <w:bodyDiv w:val="1"/>
      <w:marLeft w:val="0"/>
      <w:marRight w:val="0"/>
      <w:marTop w:val="0"/>
      <w:marBottom w:val="0"/>
      <w:divBdr>
        <w:top w:val="none" w:sz="0" w:space="0" w:color="auto"/>
        <w:left w:val="none" w:sz="0" w:space="0" w:color="auto"/>
        <w:bottom w:val="none" w:sz="0" w:space="0" w:color="auto"/>
        <w:right w:val="none" w:sz="0" w:space="0" w:color="auto"/>
      </w:divBdr>
    </w:div>
    <w:div w:id="1861355606">
      <w:bodyDiv w:val="1"/>
      <w:marLeft w:val="0"/>
      <w:marRight w:val="0"/>
      <w:marTop w:val="0"/>
      <w:marBottom w:val="0"/>
      <w:divBdr>
        <w:top w:val="none" w:sz="0" w:space="0" w:color="auto"/>
        <w:left w:val="none" w:sz="0" w:space="0" w:color="auto"/>
        <w:bottom w:val="none" w:sz="0" w:space="0" w:color="auto"/>
        <w:right w:val="none" w:sz="0" w:space="0" w:color="auto"/>
      </w:divBdr>
    </w:div>
    <w:div w:id="1897006193">
      <w:bodyDiv w:val="1"/>
      <w:marLeft w:val="0"/>
      <w:marRight w:val="0"/>
      <w:marTop w:val="0"/>
      <w:marBottom w:val="0"/>
      <w:divBdr>
        <w:top w:val="none" w:sz="0" w:space="0" w:color="auto"/>
        <w:left w:val="none" w:sz="0" w:space="0" w:color="auto"/>
        <w:bottom w:val="none" w:sz="0" w:space="0" w:color="auto"/>
        <w:right w:val="none" w:sz="0" w:space="0" w:color="auto"/>
      </w:divBdr>
    </w:div>
    <w:div w:id="2089841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view.officeapps.live.com/op/view.aspx?src=https%3A%2F%2Fwww.ercot.com%2Ffiles%2Fdocs%2F2026%2F05%2F26%2F182RMGRR-07-Impact-Analysis-052626.docx&amp;wdOrigin=BROWSELINK" TargetMode="External"/><Relationship Id="rId21" Type="http://schemas.openxmlformats.org/officeDocument/2006/relationships/hyperlink" Target="https://view.officeapps.live.com/op/view.aspx?src=https%3A%2F%2Fwww.ercot.com%2Ffiles%2Fdocs%2F2026%2F05%2F26%2F1292NPRR-18-Impact-Analysis-052626.docx&amp;wdOrigin=BROWSELINK" TargetMode="External"/><Relationship Id="rId42" Type="http://schemas.openxmlformats.org/officeDocument/2006/relationships/hyperlink" Target="https://view.officeapps.live.com/op/view.aspx?src=https%3A%2F%2Fwww.ercot.com%2Ffiles%2Fdocs%2F2026%2F07%2F30%2F1328NPRR-18-TAC-Report-072926.docx&amp;wdOrigin=BROWSELINK" TargetMode="External"/><Relationship Id="rId63" Type="http://schemas.openxmlformats.org/officeDocument/2006/relationships/hyperlink" Target="https://www.ercot.com/mktrules/issues/NPRR1337" TargetMode="External"/><Relationship Id="rId84" Type="http://schemas.openxmlformats.org/officeDocument/2006/relationships/hyperlink" Target="https://www.ercot.com/mktrules/issues/COPMGRR051" TargetMode="External"/><Relationship Id="rId138" Type="http://schemas.openxmlformats.org/officeDocument/2006/relationships/footer" Target="footer1.xml"/><Relationship Id="rId107" Type="http://schemas.openxmlformats.org/officeDocument/2006/relationships/hyperlink" Target="https://www.ercot.com/mktrules/issues/NOGRR287" TargetMode="External"/><Relationship Id="rId11" Type="http://schemas.openxmlformats.org/officeDocument/2006/relationships/endnotes" Target="endnotes.xml"/><Relationship Id="rId32" Type="http://schemas.openxmlformats.org/officeDocument/2006/relationships/hyperlink" Target="https://www.ercot.com/mktrules/issues/NPRR1320" TargetMode="External"/><Relationship Id="rId37" Type="http://schemas.openxmlformats.org/officeDocument/2006/relationships/hyperlink" Target="https://view.officeapps.live.com/op/view.aspx?src=https%3A%2F%2Fwww.ercot.com%2Ffiles%2Fdocs%2F2026%2F06%2F25%2F1326NPRR-09-Impact-Analysis-062526.docx&amp;wdOrigin=BROWSELINK" TargetMode="External"/><Relationship Id="rId53" Type="http://schemas.openxmlformats.org/officeDocument/2006/relationships/hyperlink" Target="https://view.officeapps.live.com/op/view.aspx?src=https%3A%2F%2Fwww.ercot.com%2Ffiles%2Fdocs%2F2026%2F05%2F26%2F1335NPRR-02-Impact-Analysis-052626.docx&amp;wdOrigin=BROWSELINK" TargetMode="External"/><Relationship Id="rId58" Type="http://schemas.openxmlformats.org/officeDocument/2006/relationships/hyperlink" Target="https://view.officeapps.live.com/op/view.aspx?src=https%3A%2F%2Fwww.ercot.com%2Ffiles%2Fdocs%2F2026%2F08%2F28%2F1336NPRR-10-TAC-Report-082626.docx&amp;wdOrigin=BROWSELINK" TargetMode="External"/><Relationship Id="rId74" Type="http://schemas.openxmlformats.org/officeDocument/2006/relationships/hyperlink" Target="https://view.officeapps.live.com/op/view.aspx?src=https%3A%2F%2Fwww.ercot.com%2Ffiles%2Fdocs%2F2026%2F08%2F28%2F1341NPRR-10-TAC-Report-082626.docx&amp;wdOrigin=BROWSELINK" TargetMode="External"/><Relationship Id="rId79" Type="http://schemas.openxmlformats.org/officeDocument/2006/relationships/hyperlink" Target="https://www.ercot.com/mktrules/issues/NPRR1342" TargetMode="External"/><Relationship Id="rId102" Type="http://schemas.openxmlformats.org/officeDocument/2006/relationships/hyperlink" Target="https://view.officeapps.live.com/op/view.aspx?src=https%3A%2F%2Fwww.ercot.com%2Ffiles%2Fdocs%2F2026%2F07%2F31%2F286NOGRR-13-TAC-Report-072926.docx&amp;wdOrigin=BROWSELINK" TargetMode="External"/><Relationship Id="rId123" Type="http://schemas.openxmlformats.org/officeDocument/2006/relationships/hyperlink" Target="https://www.ercot.com/mktrules/issues/RMGRR186" TargetMode="External"/><Relationship Id="rId128" Type="http://schemas.openxmlformats.org/officeDocument/2006/relationships/hyperlink" Target="https://www.ercot.com/mktrules/issues/SMOGRR031" TargetMode="External"/><Relationship Id="rId5" Type="http://schemas.openxmlformats.org/officeDocument/2006/relationships/customXml" Target="../customXml/item5.xml"/><Relationship Id="rId90" Type="http://schemas.openxmlformats.org/officeDocument/2006/relationships/hyperlink" Target="https://view.officeapps.live.com/op/view.aspx?src=https%3A%2F%2Fwww.ercot.com%2Ffiles%2Fdocs%2F2026%2F07%2F31%2F076LPGRR-08-TAC-Report-072926.docx&amp;wdOrigin=BROWSELINK" TargetMode="External"/><Relationship Id="rId95" Type="http://schemas.openxmlformats.org/officeDocument/2006/relationships/hyperlink" Target="https://www.ercot.com/mktrules/issues/LPGRR077" TargetMode="External"/><Relationship Id="rId22" Type="http://schemas.openxmlformats.org/officeDocument/2006/relationships/hyperlink" Target="https://view.officeapps.live.com/op/view.aspx?src=https%3A%2F%2Fwww.ercot.com%2Ffiles%2Fdocs%2F2026%2F08%2F03%2F1292NPRR-22-TAC-Report-072926.docx&amp;wdOrigin=BROWSELINK" TargetMode="External"/><Relationship Id="rId27" Type="http://schemas.openxmlformats.org/officeDocument/2006/relationships/hyperlink" Target="https://www.ercot.com/mktrules/issues/NPRR1301" TargetMode="External"/><Relationship Id="rId43" Type="http://schemas.openxmlformats.org/officeDocument/2006/relationships/hyperlink" Target="https://www.ercot.com/mktrules/issues/NPRR1328" TargetMode="External"/><Relationship Id="rId48" Type="http://schemas.openxmlformats.org/officeDocument/2006/relationships/hyperlink" Target="https://www.ercot.com/mktrules/issues/NPRR1331" TargetMode="External"/><Relationship Id="rId64" Type="http://schemas.openxmlformats.org/officeDocument/2006/relationships/hyperlink" Target="https://www.ercot.com/mktrules/issues/NPRR1338" TargetMode="External"/><Relationship Id="rId69" Type="http://schemas.openxmlformats.org/officeDocument/2006/relationships/hyperlink" Target="https://view.officeapps.live.com/op/view.aspx?src=https%3A%2F%2Fwww.ercot.com%2Ffiles%2Fdocs%2F2026%2F05%2F29%2F1339NPRR-02-Impact-Analysis-052926.docx&amp;wdOrigin=BROWSELINK" TargetMode="External"/><Relationship Id="rId113" Type="http://schemas.openxmlformats.org/officeDocument/2006/relationships/hyperlink" Target="https://view.officeapps.live.com/op/view.aspx?src=https%3A%2F%2Fwww.ercot.com%2Ffiles%2Fdocs%2F2026%2F06%2F30%2F128PGRR-16-Impact-Analysis-063026.docx&amp;wdOrigin=BROWSELINK" TargetMode="External"/><Relationship Id="rId118" Type="http://schemas.openxmlformats.org/officeDocument/2006/relationships/hyperlink" Target="https://view.officeapps.live.com/op/view.aspx?src=https%3A%2F%2Fwww.ercot.com%2Ffiles%2Fdocs%2F2026%2F07%2F31%2F182RMGRR-11-TAC-Report-072926.docx&amp;wdOrigin=BROWSELINK" TargetMode="External"/><Relationship Id="rId134" Type="http://schemas.openxmlformats.org/officeDocument/2006/relationships/hyperlink" Target="https://view.officeapps.live.com/op/view.aspx?src=https%3A%2F%2Fwww.ercot.com%2Ffiles%2Fdocs%2F2026%2F07%2F31%2F043VCMRR-17-TAC-Report-072926.docx&amp;wdOrigin=BROWSELINK" TargetMode="External"/><Relationship Id="rId139" Type="http://schemas.openxmlformats.org/officeDocument/2006/relationships/footer" Target="footer2.xml"/><Relationship Id="rId80" Type="http://schemas.openxmlformats.org/officeDocument/2006/relationships/hyperlink" Target="https://www.ercot.com/mktrules/issues/NPRR1344" TargetMode="External"/><Relationship Id="rId85" Type="http://schemas.openxmlformats.org/officeDocument/2006/relationships/hyperlink" Target="https://www.ercot.com/files/docs/2026/05/26/051COPMGRR-13-Impact-Analysis-052626.docx" TargetMode="External"/><Relationship Id="rId12" Type="http://schemas.openxmlformats.org/officeDocument/2006/relationships/hyperlink" Target="https://www.ercot.com/mktrules/issues/NPRR1214" TargetMode="External"/><Relationship Id="rId17" Type="http://schemas.openxmlformats.org/officeDocument/2006/relationships/hyperlink" Target="https://view.officeapps.live.com/op/view.aspx?src=https%3A%2F%2Fwww.ercot.com%2Ffiles%2Fdocs%2F2025%2F05%2F21%2F1286NPRR-02-Impact-Analysis-052125.docx&amp;wdOrigin=BROWSELINK" TargetMode="External"/><Relationship Id="rId33" Type="http://schemas.openxmlformats.org/officeDocument/2006/relationships/hyperlink" Target="https://view.officeapps.live.com/op/view.aspx?src=https%3A%2F%2Fwww.ercot.com%2Ffiles%2Fdocs%2F2026%2F01%2F27%2F1320NPRR-02-Impact-Analysis-012726.docx&amp;wdOrigin=BROWSELINK" TargetMode="External"/><Relationship Id="rId38" Type="http://schemas.openxmlformats.org/officeDocument/2006/relationships/hyperlink" Target="https://view.officeapps.live.com/op/view.aspx?src=https%3A%2F%2Fwww.ercot.com%2Ffiles%2Fdocs%2F2026%2F08%2F03%2F1326NPRR-13-TAC-Report-0712926.docx&amp;wdOrigin=BROWSELINK" TargetMode="External"/><Relationship Id="rId59" Type="http://schemas.openxmlformats.org/officeDocument/2006/relationships/hyperlink" Target="https://www.ercot.com/mktrules/issues/NPRR1336" TargetMode="External"/><Relationship Id="rId103" Type="http://schemas.openxmlformats.org/officeDocument/2006/relationships/hyperlink" Target="https://www.ercot.com/mktrules/issues/NOGRR286" TargetMode="External"/><Relationship Id="rId108" Type="http://schemas.openxmlformats.org/officeDocument/2006/relationships/hyperlink" Target="https://www.ercot.com/mktrules/issues/PGRR123" TargetMode="External"/><Relationship Id="rId124" Type="http://schemas.openxmlformats.org/officeDocument/2006/relationships/hyperlink" Target="https://www.ercot.com/mktrules/issues/RRGRR038" TargetMode="External"/><Relationship Id="rId129" Type="http://schemas.openxmlformats.org/officeDocument/2006/relationships/hyperlink" Target="https://view.officeapps.live.com/op/view.aspx?src=https%3A%2F%2Fwww.ercot.com%2Ffiles%2Fdocs%2F2026%2F05%2F26%2F031SMOGRR-13-Impact-Analysis-052626.docx&amp;wdOrigin=BROWSELINK" TargetMode="External"/><Relationship Id="rId54" Type="http://schemas.openxmlformats.org/officeDocument/2006/relationships/hyperlink" Target="https://view.officeapps.live.com/op/view.aspx?src=https%3A%2F%2Fwww.ercot.com%2Ffiles%2Fdocs%2F2026%2F08%2F27%2F1335NPRR-16-TAC-Report-082626.docx&amp;wdOrigin=BROWSELINK" TargetMode="External"/><Relationship Id="rId70" Type="http://schemas.openxmlformats.org/officeDocument/2006/relationships/hyperlink" Target="https://view.officeapps.live.com/op/view.aspx?src=https%3A%2F%2Fwww.ercot.com%2Ffiles%2Fdocs%2F2026%2F08%2F28%2F1339NPRR-09-TAC-Report-082626.docx&amp;wdOrigin=BROWSELINK" TargetMode="External"/><Relationship Id="rId75" Type="http://schemas.openxmlformats.org/officeDocument/2006/relationships/hyperlink" Target="https://www.ercot.com/mktrules/issues/NPRR1341" TargetMode="External"/><Relationship Id="rId91" Type="http://schemas.openxmlformats.org/officeDocument/2006/relationships/hyperlink" Target="https://www.ercot.com/mktrules/issues/LPGRR076" TargetMode="External"/><Relationship Id="rId96" Type="http://schemas.openxmlformats.org/officeDocument/2006/relationships/hyperlink" Target="https://www.ercot.com/mktrules/issues/NOGRR273" TargetMode="External"/><Relationship Id="rId14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www.ercot.com/mktrules/issues/NPRR1292" TargetMode="External"/><Relationship Id="rId28" Type="http://schemas.openxmlformats.org/officeDocument/2006/relationships/hyperlink" Target="https://www.ercot.com/mktrules/issues/NPRR1319" TargetMode="External"/><Relationship Id="rId49" Type="http://schemas.openxmlformats.org/officeDocument/2006/relationships/hyperlink" Target="https://view.officeapps.live.com/op/view.aspx?src=https%3A%2F%2Fwww.ercot.com%2Ffiles%2Fdocs%2F2026%2F08%2F07%2F1331NPRR-06-Impact-Analysis-080726.docx&amp;wdOrigin=BROWSELINK" TargetMode="External"/><Relationship Id="rId114" Type="http://schemas.openxmlformats.org/officeDocument/2006/relationships/hyperlink" Target="https://view.officeapps.live.com/op/view.aspx?src=https%3A%2F%2Fwww.ercot.com%2Ffiles%2Fdocs%2F2026%2F08%2F03%2F128PGRR-21-TAC-Report-072926.docx&amp;wdOrigin=BROWSELINK" TargetMode="External"/><Relationship Id="rId119" Type="http://schemas.openxmlformats.org/officeDocument/2006/relationships/hyperlink" Target="https://www.ercot.com/mktrules/issues/RMGRR182" TargetMode="External"/><Relationship Id="rId44" Type="http://schemas.openxmlformats.org/officeDocument/2006/relationships/hyperlink" Target="https://www.ercot.com/mktrules/issues/NPRR1329" TargetMode="External"/><Relationship Id="rId60" Type="http://schemas.openxmlformats.org/officeDocument/2006/relationships/hyperlink" Target="https://www.ercot.com/mktrules/issues/NPRR1337" TargetMode="External"/><Relationship Id="rId65" Type="http://schemas.openxmlformats.org/officeDocument/2006/relationships/hyperlink" Target="https://view.officeapps.live.com/op/view.aspx?src=https%3A%2F%2Fwww.ercot.com%2Ffiles%2Fdocs%2F2026%2F05%2F29%2F1338NPRR-02-Impact-Analysis-052926.docx&amp;wdOrigin=BROWSELINK" TargetMode="External"/><Relationship Id="rId81" Type="http://schemas.openxmlformats.org/officeDocument/2006/relationships/hyperlink" Target="https://view.officeapps.live.com/op/view.aspx?src=https%3A%2F%2Fwww.ercot.com%2Ffiles%2Fdocs%2F2026%2F07%2F28%2F1344NPRR-02-Impact-Analysis-072826.docx&amp;wdOrigin=BROWSELINK" TargetMode="External"/><Relationship Id="rId86" Type="http://schemas.openxmlformats.org/officeDocument/2006/relationships/hyperlink" Target="https://www.ercot.com/files/docs/2026/07/31/051COPMGRR-17-TAC-Report-072926.docx" TargetMode="External"/><Relationship Id="rId130" Type="http://schemas.openxmlformats.org/officeDocument/2006/relationships/hyperlink" Target="https://view.officeapps.live.com/op/view.aspx?src=https%3A%2F%2Fwww.ercot.com%2Ffiles%2Fdocs%2F2026%2F07%2F31%2F031SMOGRR-17-TAC-Report-072926.docx&amp;wdOrigin=BROWSELINK" TargetMode="External"/><Relationship Id="rId135" Type="http://schemas.openxmlformats.org/officeDocument/2006/relationships/hyperlink" Target="https://www.ercot.com/mktrules/issues/VCMRR043" TargetMode="External"/><Relationship Id="rId13" Type="http://schemas.openxmlformats.org/officeDocument/2006/relationships/hyperlink" Target="https://view.officeapps.live.com/op/view.aspx?src=https%3A%2F%2Fwww.ercot.com%2Ffiles%2Fdocs%2F2026%2F08%2F11%2F1214NPRR-28-Revised-Impact-Analysis-081126.docx&amp;wdOrigin=BROWSELINK" TargetMode="External"/><Relationship Id="rId18" Type="http://schemas.openxmlformats.org/officeDocument/2006/relationships/hyperlink" Target="https://view.officeapps.live.com/op/view.aspx?src=https%3A%2F%2Fwww.ercot.com%2Ffiles%2Fdocs%2F2026%2F07%2F31%2F1286NPRR-21-TAC-Report-072926.docx&amp;wdOrigin=BROWSELINK" TargetMode="External"/><Relationship Id="rId39" Type="http://schemas.openxmlformats.org/officeDocument/2006/relationships/hyperlink" Target="https://www.ercot.com/mktrules/issues/NPRR1326" TargetMode="External"/><Relationship Id="rId109" Type="http://schemas.openxmlformats.org/officeDocument/2006/relationships/hyperlink" Target="https://view.officeapps.live.com/op/view.aspx?src=https%3A%2F%2Fwww.ercot.com%2Ffiles%2Fdocs%2F2026%2F05%2F26%2F123PGRR-07-Impact-Analysis-052626.docx&amp;wdOrigin=BROWSELINK" TargetMode="External"/><Relationship Id="rId34" Type="http://schemas.openxmlformats.org/officeDocument/2006/relationships/hyperlink" Target="https://view.officeapps.live.com/op/view.aspx?src=https%3A%2F%2Fwww.ercot.com%2Ffiles%2Fdocs%2F2026%2F08%2F03%2F1320NPRR-16-TAC-Report-072926.docx&amp;wdOrigin=BROWSELINK" TargetMode="External"/><Relationship Id="rId50" Type="http://schemas.openxmlformats.org/officeDocument/2006/relationships/hyperlink" Target="https://view.officeapps.live.com/op/view.aspx?src=https%3A%2F%2Fwww.ercot.com%2Ffiles%2Fdocs%2F2026%2F08%2F28%2F1331NPRR-10-TAC-Report-082626.docx&amp;wdOrigin=BROWSELINK" TargetMode="External"/><Relationship Id="rId55" Type="http://schemas.openxmlformats.org/officeDocument/2006/relationships/hyperlink" Target="https://www.ercot.com/mktrules/issues/NPRR1335" TargetMode="External"/><Relationship Id="rId76" Type="http://schemas.openxmlformats.org/officeDocument/2006/relationships/hyperlink" Target="https://www.ercot.com/mktrules/issues/NPRR1342" TargetMode="External"/><Relationship Id="rId97" Type="http://schemas.openxmlformats.org/officeDocument/2006/relationships/hyperlink" Target="https://view.officeapps.live.com/op/view.aspx?src=https%3A%2F%2Fwww.ercot.com%2Ffiles%2Fdocs%2F2026%2F05%2F26%2F273NOGRR-07-Impact-Analysis-052626.docx&amp;wdOrigin=BROWSELINK" TargetMode="External"/><Relationship Id="rId104" Type="http://schemas.openxmlformats.org/officeDocument/2006/relationships/hyperlink" Target="https://www.ercot.com/mktrules/issues/NOGRR287" TargetMode="External"/><Relationship Id="rId120" Type="http://schemas.openxmlformats.org/officeDocument/2006/relationships/hyperlink" Target="https://www.ercot.com/mktrules/issues/RMGRR186" TargetMode="External"/><Relationship Id="rId125" Type="http://schemas.openxmlformats.org/officeDocument/2006/relationships/hyperlink" Target="https://view.officeapps.live.com/op/view.aspx?src=https%3A%2F%2Fwww.ercot.com%2Ffiles%2Fdocs%2F2026%2F05%2F26%2F038RRGRR-07-Impact-Analysis-052626.docx&amp;wdOrigin=BROWSELINK" TargetMode="External"/><Relationship Id="rId141" Type="http://schemas.openxmlformats.org/officeDocument/2006/relationships/footer" Target="footer3.xml"/><Relationship Id="rId7" Type="http://schemas.openxmlformats.org/officeDocument/2006/relationships/styles" Target="styles.xml"/><Relationship Id="rId71" Type="http://schemas.openxmlformats.org/officeDocument/2006/relationships/hyperlink" Target="https://www.ercot.com/mktrules/issues/NPRR1339" TargetMode="External"/><Relationship Id="rId92" Type="http://schemas.openxmlformats.org/officeDocument/2006/relationships/hyperlink" Target="https://www.ercot.com/mktrules/issues/LPGRR077" TargetMode="External"/><Relationship Id="rId2" Type="http://schemas.openxmlformats.org/officeDocument/2006/relationships/customXml" Target="../customXml/item2.xml"/><Relationship Id="rId29" Type="http://schemas.openxmlformats.org/officeDocument/2006/relationships/hyperlink" Target="https://view.officeapps.live.com/op/view.aspx?src=https%3A%2F%2Fwww.ercot.com%2Ffiles%2Fdocs%2F2025%2F12%2F29%2F1319NPRR-02-Impact-Analysis-122925.docx&amp;wdOrigin=BROWSELINK" TargetMode="External"/><Relationship Id="rId24" Type="http://schemas.openxmlformats.org/officeDocument/2006/relationships/hyperlink" Target="https://www.ercot.com/mktrules/issues/NPRR1301" TargetMode="External"/><Relationship Id="rId40" Type="http://schemas.openxmlformats.org/officeDocument/2006/relationships/hyperlink" Target="https://www.ercot.com/mktrules/issues/NPRR1328" TargetMode="External"/><Relationship Id="rId45" Type="http://schemas.openxmlformats.org/officeDocument/2006/relationships/hyperlink" Target="https://view.officeapps.live.com/op/view.aspx?src=https%3A%2F%2Fwww.ercot.com%2Ffiles%2Fdocs%2F2026%2F08%2F11%2F1329NPRR-08-Impact-Analysis-081126.docx&amp;wdOrigin=BROWSELINK" TargetMode="External"/><Relationship Id="rId66" Type="http://schemas.openxmlformats.org/officeDocument/2006/relationships/hyperlink" Target="https://view.officeapps.live.com/op/view.aspx?src=https%3A%2F%2Fwww.ercot.com%2Ffiles%2Fdocs%2F2026%2F08%2F28%2F1338NPRR-08-TAC-Report-082626.docx&amp;wdOrigin=BROWSELINK" TargetMode="External"/><Relationship Id="rId87" Type="http://schemas.openxmlformats.org/officeDocument/2006/relationships/hyperlink" Target="https://www.ercot.com/mktrules/issues/COPMGRR051" TargetMode="External"/><Relationship Id="rId110" Type="http://schemas.openxmlformats.org/officeDocument/2006/relationships/hyperlink" Target="https://view.officeapps.live.com/op/view.aspx?src=https%3A%2F%2Fwww.ercot.com%2Ffiles%2Fdocs%2F2026%2F07%2F31%2F123PGRR-11-TAC-Report-072926.docx&amp;wdOrigin=BROWSELINK" TargetMode="External"/><Relationship Id="rId115" Type="http://schemas.openxmlformats.org/officeDocument/2006/relationships/hyperlink" Target="https://www.ercot.com/mktrules/issues/PGRR128" TargetMode="External"/><Relationship Id="rId131" Type="http://schemas.openxmlformats.org/officeDocument/2006/relationships/hyperlink" Target="https://www.ercot.com/mktrules/issues/SMOGRR031" TargetMode="External"/><Relationship Id="rId136" Type="http://schemas.openxmlformats.org/officeDocument/2006/relationships/header" Target="header1.xml"/><Relationship Id="rId61" Type="http://schemas.openxmlformats.org/officeDocument/2006/relationships/hyperlink" Target="https://view.officeapps.live.com/op/view.aspx?src=https%3A%2F%2Fwww.ercot.com%2Ffiles%2Fdocs%2F2026%2F05%2F26%2F1337NPRR-02-Impact-Analysis-052626.docx&amp;wdOrigin=BROWSELINK" TargetMode="External"/><Relationship Id="rId82" Type="http://schemas.openxmlformats.org/officeDocument/2006/relationships/hyperlink" Target="https://view.officeapps.live.com/op/view.aspx?src=https%3A%2F%2Fwww.ercot.com%2Ffiles%2Fdocs%2F2026%2F08%2F30%2F1344NPRR-08-TAC-Report-082626.docx&amp;wdOrigin=BROWSELINK" TargetMode="External"/><Relationship Id="rId19" Type="http://schemas.openxmlformats.org/officeDocument/2006/relationships/hyperlink" Target="https://www.ercot.com/mktrules/issues/NPRR1286" TargetMode="External"/><Relationship Id="rId14" Type="http://schemas.openxmlformats.org/officeDocument/2006/relationships/hyperlink" Target="https://view.officeapps.live.com/op/view.aspx?src=https%3A%2F%2Fwww.ercot.com%2Ffiles%2Fdocs%2F2026%2F08%2F27%2F1214NPRR-32-TAC-Report-082626.docx&amp;wdOrigin=BROWSELINK" TargetMode="External"/><Relationship Id="rId30" Type="http://schemas.openxmlformats.org/officeDocument/2006/relationships/hyperlink" Target="https://view.officeapps.live.com/op/view.aspx?src=https%3A%2F%2Fwww.ercot.com%2Ffiles%2Fdocs%2F2026%2F08%2F03%2F1319NPRR-19-TAC-Report-072926.docx&amp;wdOrigin=BROWSELINK" TargetMode="External"/><Relationship Id="rId35" Type="http://schemas.openxmlformats.org/officeDocument/2006/relationships/hyperlink" Target="https://www.ercot.com/mktrules/issues/NPRR1320" TargetMode="External"/><Relationship Id="rId56" Type="http://schemas.openxmlformats.org/officeDocument/2006/relationships/hyperlink" Target="https://www.ercot.com/mktrules/issues/NPRR1336" TargetMode="External"/><Relationship Id="rId77" Type="http://schemas.openxmlformats.org/officeDocument/2006/relationships/hyperlink" Target="https://view.officeapps.live.com/op/view.aspx?src=https%3A%2F%2Fwww.ercot.com%2Ffiles%2Fdocs%2F2026%2F06%2F30%2F1342NPRR-02-Impact-Analysis-063026.docx&amp;wdOrigin=BROWSELINK" TargetMode="External"/><Relationship Id="rId100" Type="http://schemas.openxmlformats.org/officeDocument/2006/relationships/hyperlink" Target="https://www.ercot.com/mktrules/issues/NOGRR286" TargetMode="External"/><Relationship Id="rId105" Type="http://schemas.openxmlformats.org/officeDocument/2006/relationships/hyperlink" Target="https://view.officeapps.live.com/op/view.aspx?src=https%3A%2F%2Fwww.ercot.com%2Ffiles%2Fdocs%2F2026%2F04%2F22%2F287NOGRR-02-Impact-Analysis-042226.docx&amp;wdOrigin=BROWSELINK" TargetMode="External"/><Relationship Id="rId126" Type="http://schemas.openxmlformats.org/officeDocument/2006/relationships/hyperlink" Target="https://view.officeapps.live.com/op/view.aspx?src=https%3A%2F%2Fwww.ercot.com%2Ffiles%2Fdocs%2F2026%2F07%2F31%2F038RRGRR-11-TAC-Report-072926.docx&amp;wdOrigin=BROWSELINK" TargetMode="External"/><Relationship Id="rId8" Type="http://schemas.openxmlformats.org/officeDocument/2006/relationships/settings" Target="settings.xml"/><Relationship Id="rId51" Type="http://schemas.openxmlformats.org/officeDocument/2006/relationships/hyperlink" Target="https://www.ercot.com/mktrules/issues/NPRR1331" TargetMode="External"/><Relationship Id="rId72" Type="http://schemas.openxmlformats.org/officeDocument/2006/relationships/hyperlink" Target="https://www.ercot.com/mktrules/issues/NPRR1341" TargetMode="External"/><Relationship Id="rId93" Type="http://schemas.openxmlformats.org/officeDocument/2006/relationships/hyperlink" Target="https://view.officeapps.live.com/op/view.aspx?src=https%3A%2F%2Fwww.ercot.com%2Ffiles%2Fdocs%2F2026%2F06%2F23%2F077LPGRR-02-Impact-Analysis-062326.docx&amp;wdOrigin=BROWSELINK" TargetMode="External"/><Relationship Id="rId98" Type="http://schemas.openxmlformats.org/officeDocument/2006/relationships/hyperlink" Target="https://view.officeapps.live.com/op/view.aspx?src=https%3A%2F%2Fwww.ercot.com%2Ffiles%2Fdocs%2F2026%2F07%2F31%2F273NOGRR-11-TAC-Report-072926.docx&amp;wdOrigin=BROWSELINK" TargetMode="External"/><Relationship Id="rId121" Type="http://schemas.openxmlformats.org/officeDocument/2006/relationships/hyperlink" Target="https://view.officeapps.live.com/op/view.aspx?src=https%3A%2F%2Fwww.ercot.com%2Ffiles%2Fdocs%2F2026%2F06%2F23%2F186RMGRR-02-Impact-Analysis-062326.docx&amp;wdOrigin=BROWSELINK" TargetMode="External"/><Relationship Id="rId142"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view.officeapps.live.com/op/view.aspx?src=https%3A%2F%2Fwww.ercot.com%2Ffiles%2Fdocs%2F2026%2F06%2F23%2F1301NPRR-16-Impact-Analysis-062326.docx&amp;wdOrigin=BROWSELINK" TargetMode="External"/><Relationship Id="rId46" Type="http://schemas.openxmlformats.org/officeDocument/2006/relationships/hyperlink" Target="https://www.ercot.com/files/docs/2026/08/30/1329NPRR-12-TAC-Report-082626.docx" TargetMode="External"/><Relationship Id="rId67" Type="http://schemas.openxmlformats.org/officeDocument/2006/relationships/hyperlink" Target="https://www.ercot.com/mktrules/issues/NPRR1338" TargetMode="External"/><Relationship Id="rId116" Type="http://schemas.openxmlformats.org/officeDocument/2006/relationships/hyperlink" Target="https://www.ercot.com/mktrules/issues/RMGRR182" TargetMode="External"/><Relationship Id="rId137" Type="http://schemas.openxmlformats.org/officeDocument/2006/relationships/header" Target="header2.xml"/><Relationship Id="rId20" Type="http://schemas.openxmlformats.org/officeDocument/2006/relationships/hyperlink" Target="https://www.ercot.com/mktrules/issues/NPRR1292" TargetMode="External"/><Relationship Id="rId41" Type="http://schemas.openxmlformats.org/officeDocument/2006/relationships/hyperlink" Target="https://view.officeapps.live.com/op/view.aspx?src=https%3A%2F%2Fwww.ercot.com%2Ffiles%2Fdocs%2F2026%2F04%2F02%2F1328NPRR-02-Impact-Analysis-040226.docx&amp;wdOrigin=BROWSELINK" TargetMode="External"/><Relationship Id="rId62" Type="http://schemas.openxmlformats.org/officeDocument/2006/relationships/hyperlink" Target="https://view.officeapps.live.com/op/view.aspx?src=https%3A%2F%2Fwww.ercot.com%2Ffiles%2Fdocs%2F2026%2F08%2F30%2F1337NPRR-22-TAC-Report-082626.docx&amp;wdOrigin=BROWSELINK" TargetMode="External"/><Relationship Id="rId83" Type="http://schemas.openxmlformats.org/officeDocument/2006/relationships/hyperlink" Target="https://www.ercot.com/mktrules/issues/NPRR1344" TargetMode="External"/><Relationship Id="rId88" Type="http://schemas.openxmlformats.org/officeDocument/2006/relationships/hyperlink" Target="https://www.ercot.com/mktrules/issues/LPGRR076" TargetMode="External"/><Relationship Id="rId111" Type="http://schemas.openxmlformats.org/officeDocument/2006/relationships/hyperlink" Target="https://www.ercot.com/mktrules/issues/PGRR123" TargetMode="External"/><Relationship Id="rId132" Type="http://schemas.openxmlformats.org/officeDocument/2006/relationships/hyperlink" Target="https://www.ercot.com/mktrules/issues/VCMRR043" TargetMode="External"/><Relationship Id="rId15" Type="http://schemas.openxmlformats.org/officeDocument/2006/relationships/hyperlink" Target="https://www.ercot.com/mktrules/issues/NPRR1214" TargetMode="External"/><Relationship Id="rId36" Type="http://schemas.openxmlformats.org/officeDocument/2006/relationships/hyperlink" Target="https://www.ercot.com/mktrules/issues/NPRR1326" TargetMode="External"/><Relationship Id="rId57" Type="http://schemas.openxmlformats.org/officeDocument/2006/relationships/hyperlink" Target="https://view.officeapps.live.com/op/view.aspx?src=https%3A%2F%2Fwww.ercot.com%2Ffiles%2Fdocs%2F2026%2F08%2F11%2F1336NPRR-06-Revised-Impact-Analysis-081126.docx&amp;wdOrigin=BROWSELINK" TargetMode="External"/><Relationship Id="rId106" Type="http://schemas.openxmlformats.org/officeDocument/2006/relationships/hyperlink" Target="https://view.officeapps.live.com/op/view.aspx?src=https%3A%2F%2Fwww.ercot.com%2Ffiles%2Fdocs%2F2026%2F07%2F31%2F287NOGRR-09-TAC-Report-072926.docx&amp;wdOrigin=BROWSELINK" TargetMode="External"/><Relationship Id="rId127" Type="http://schemas.openxmlformats.org/officeDocument/2006/relationships/hyperlink" Target="https://www.ercot.com/mktrules/issues/RRGRR038" TargetMode="External"/><Relationship Id="rId10" Type="http://schemas.openxmlformats.org/officeDocument/2006/relationships/footnotes" Target="footnotes.xml"/><Relationship Id="rId31" Type="http://schemas.openxmlformats.org/officeDocument/2006/relationships/hyperlink" Target="https://www.ercot.com/mktrules/issues/NPRR1319" TargetMode="External"/><Relationship Id="rId52" Type="http://schemas.openxmlformats.org/officeDocument/2006/relationships/hyperlink" Target="https://www.ercot.com/mktrules/issues/NPRR1335" TargetMode="External"/><Relationship Id="rId73" Type="http://schemas.openxmlformats.org/officeDocument/2006/relationships/hyperlink" Target="https://view.officeapps.live.com/op/view.aspx?src=https%3A%2F%2Fwww.ercot.com%2Ffiles%2Fdocs%2F2026%2F06%2F23%2F1341NPRR-02-Impact-Analysis-062326.docx&amp;wdOrigin=BROWSELINK" TargetMode="External"/><Relationship Id="rId78" Type="http://schemas.openxmlformats.org/officeDocument/2006/relationships/hyperlink" Target="https://view.officeapps.live.com/op/view.aspx?src=https%3A%2F%2Fwww.ercot.com%2Ffiles%2Fdocs%2F2026%2F08%2F28%2F1342NPRR-10-TAC-Report-082626.docx&amp;wdOrigin=BROWSELINK" TargetMode="External"/><Relationship Id="rId94" Type="http://schemas.openxmlformats.org/officeDocument/2006/relationships/hyperlink" Target="https://view.officeapps.live.com/op/view.aspx?src=https%3A%2F%2Fwww.ercot.com%2Ffiles%2Fdocs%2F2026%2F08%2F28%2F077LPGRR-08-TAC-Report-082626.docx&amp;wdOrigin=BROWSELINK" TargetMode="External"/><Relationship Id="rId99" Type="http://schemas.openxmlformats.org/officeDocument/2006/relationships/hyperlink" Target="https://www.ercot.com/mktrules/issues/NOGRR273" TargetMode="External"/><Relationship Id="rId101" Type="http://schemas.openxmlformats.org/officeDocument/2006/relationships/hyperlink" Target="https://view.officeapps.live.com/op/view.aspx?src=https%3A%2F%2Fwww.ercot.com%2Ffiles%2Fdocs%2F2026%2F06%2F16%2F286NOGRR-09-Impact-Analysis-061626.docx&amp;wdOrigin=BROWSELINK" TargetMode="External"/><Relationship Id="rId122" Type="http://schemas.openxmlformats.org/officeDocument/2006/relationships/hyperlink" Target="https://view.officeapps.live.com/op/view.aspx?src=https%3A%2F%2Fwww.ercot.com%2Ffiles%2Fdocs%2F2026%2F08%2F28%2F186RMGRR-08-TAC-Report-082626.docx&amp;wdOrigin=BROWSELINK" TargetMode="External"/><Relationship Id="rId14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view.officeapps.live.com/op/view.aspx?src=https%3A%2F%2Fwww.ercot.com%2Ffiles%2Fdocs%2F2026%2F07%2F31%2F1301NPRR-21-TAC-Report-072926.docx&amp;wdOrigin=BROWSELINK" TargetMode="External"/><Relationship Id="rId47" Type="http://schemas.openxmlformats.org/officeDocument/2006/relationships/hyperlink" Target="https://www.ercot.com/mktrules/issues/NPRR1329" TargetMode="External"/><Relationship Id="rId68" Type="http://schemas.openxmlformats.org/officeDocument/2006/relationships/hyperlink" Target="https://www.ercot.com/mktrules/issues/NPRR1339" TargetMode="External"/><Relationship Id="rId89" Type="http://schemas.openxmlformats.org/officeDocument/2006/relationships/hyperlink" Target="https://view.officeapps.live.com/op/view.aspx?src=https%3A%2F%2Fwww.ercot.com%2Ffiles%2Fdocs%2F2026%2F07%2F07%2F076LPGRR-04-Impact-Analysis-070726.docx&amp;wdOrigin=BROWSELINK" TargetMode="External"/><Relationship Id="rId112" Type="http://schemas.openxmlformats.org/officeDocument/2006/relationships/hyperlink" Target="https://www.ercot.com/mktrules/issues/PGRR128" TargetMode="External"/><Relationship Id="rId133" Type="http://schemas.openxmlformats.org/officeDocument/2006/relationships/hyperlink" Target="https://view.officeapps.live.com/op/view.aspx?src=https%3A%2F%2Fwww.ercot.com%2Ffiles%2Fdocs%2F2026%2F05%2F26%2F043VCMRR-13-Impact-Analysis-052626.docx&amp;wdOrigin=BROWSELINK" TargetMode="External"/><Relationship Id="rId16" Type="http://schemas.openxmlformats.org/officeDocument/2006/relationships/hyperlink" Target="https://www.ercot.com/mktrules/issues/NPRR128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oren\Downloads\Board%20Decision%20Template%20&amp;%20Resolution%20-%20Public.dotx" TargetMode="External"/></Relationships>
</file>

<file path=word/theme/theme1.xml><?xml version="1.0" encoding="utf-8"?>
<a:theme xmlns:a="http://schemas.openxmlformats.org/drawingml/2006/main" name="Office Theme">
  <a:themeElements>
    <a:clrScheme name="ERCOT Brand Colors">
      <a:dk1>
        <a:srgbClr val="2D3338"/>
      </a:dk1>
      <a:lt1>
        <a:srgbClr val="FFFFFF"/>
      </a:lt1>
      <a:dk2>
        <a:srgbClr val="5B6770"/>
      </a:dk2>
      <a:lt2>
        <a:srgbClr val="E6EBF0"/>
      </a:lt2>
      <a:accent1>
        <a:srgbClr val="00AEC7"/>
      </a:accent1>
      <a:accent2>
        <a:srgbClr val="7C858C"/>
      </a:accent2>
      <a:accent3>
        <a:srgbClr val="26D07C"/>
      </a:accent3>
      <a:accent4>
        <a:srgbClr val="003865"/>
      </a:accent4>
      <a:accent5>
        <a:srgbClr val="685BC7"/>
      </a:accent5>
      <a:accent6>
        <a:srgbClr val="1F8B9D"/>
      </a:accent6>
      <a:hlink>
        <a:srgbClr val="0063B4"/>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Extreme Shadow">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6F78F0F47A9247AD375CCF123806DD" ma:contentTypeVersion="3" ma:contentTypeDescription="Create a new document." ma:contentTypeScope="" ma:versionID="45d059f91e8ec81c19219b1f4a0a2112">
  <xsd:schema xmlns:xsd="http://www.w3.org/2001/XMLSchema" xmlns:xs="http://www.w3.org/2001/XMLSchema" xmlns:p="http://schemas.microsoft.com/office/2006/metadata/properties" xmlns:ns2="b9c966e8-d31f-418a-9299-a262be40f2e8" targetNamespace="http://schemas.microsoft.com/office/2006/metadata/properties" ma:root="true" ma:fieldsID="653ee889c9e7d5dedd74a1fd0d65966b" ns2:_="">
    <xsd:import namespace="b9c966e8-d31f-418a-9299-a262be40f2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966e8-d31f-418a-9299-a262be40f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AE26B-EE66-4084-8274-21E219498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966e8-d31f-418a-9299-a262be40f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F7D5FA-0409-4CC2-A5CC-7E20EB258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BAB572-5387-4095-96A7-596A2AA557D5}">
  <ds:schemaRefs>
    <ds:schemaRef ds:uri="http://schemas.microsoft.com/sharepoint/v3/contenttype/forms"/>
  </ds:schemaRefs>
</ds:datastoreItem>
</file>

<file path=customXml/itemProps5.xml><?xml version="1.0" encoding="utf-8"?>
<ds:datastoreItem xmlns:ds="http://schemas.openxmlformats.org/officeDocument/2006/customXml" ds:itemID="{94841452-DC51-40B6-BC4E-882612FB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Board Decision Template &amp; Resolution - Public</Template>
  <TotalTime>14</TotalTime>
  <Pages>21</Pages>
  <Words>8977</Words>
  <Characters>53686</Characters>
  <Application>Microsoft Office Word</Application>
  <DocSecurity>0</DocSecurity>
  <Lines>1118</Lines>
  <Paragraphs>626</Paragraphs>
  <ScaleCrop>false</ScaleCrop>
  <HeadingPairs>
    <vt:vector size="2" baseType="variant">
      <vt:variant>
        <vt:lpstr>Title</vt:lpstr>
      </vt:variant>
      <vt:variant>
        <vt:i4>1</vt:i4>
      </vt:variant>
    </vt:vector>
  </HeadingPairs>
  <TitlesOfParts>
    <vt:vector size="1" baseType="lpstr">
      <vt:lpstr>ERCOT Board Decision Template</vt:lpstr>
    </vt:vector>
  </TitlesOfParts>
  <Company>ERCOT</Company>
  <LinksUpToDate>false</LinksUpToDate>
  <CharactersWithSpaces>62037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Board Decision Template</dc:title>
  <dc:subject>Board Decision Template</dc:subject>
  <dc:creator>Ann Shang Boren</dc:creator>
  <cp:keywords/>
  <cp:lastModifiedBy>Kim Rainwater</cp:lastModifiedBy>
  <cp:revision>11</cp:revision>
  <dcterms:created xsi:type="dcterms:W3CDTF">2026-08-31T21:54:00Z</dcterms:created>
  <dcterms:modified xsi:type="dcterms:W3CDTF">2026-09-07T18:36:00Z</dcterms:modified>
  <cp:category>BOD Tempate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0x0101006E6F78F0F47A9247AD375CCF123806DD</vt:lpwstr>
  </property>
  <property fmtid="{D5CDD505-2E9C-101B-9397-08002B2CF9AE}" pid="3" name="MSIP_Label_c144db1d-993e-40da-980d-6eea152adc50_Enabled">
    <vt:lpwstr>true</vt:lpwstr>
  </property>
  <property fmtid="{D5CDD505-2E9C-101B-9397-08002B2CF9AE}" pid="4" name="MSIP_Label_c144db1d-993e-40da-980d-6eea152adc50_SetDate">
    <vt:lpwstr>2025-04-23T15:48:36Z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95fdf3fb-6b3c-4eca-9aed-ed23ec6fe40c</vt:lpwstr>
  </property>
  <property fmtid="{D5CDD505-2E9C-101B-9397-08002B2CF9AE}" pid="9" name="MSIP_Label_c144db1d-993e-40da-980d-6eea152adc50_ContentBits">
    <vt:lpwstr>0</vt:lpwstr>
  </property>
  <property fmtid="{D5CDD505-2E9C-101B-9397-08002B2CF9AE}" pid="10" name="MSIP_Label_c144db1d-993e-40da-980d-6eea152adc50_Tag">
    <vt:lpwstr>10, 0, 1, 1</vt:lpwstr>
  </property>
  <property fmtid="{D5CDD505-2E9C-101B-9397-08002B2CF9AE}" pid="11" name="MediaServiceImageTags">
    <vt:lpwstr/>
  </property>
  <property fmtid="{D5CDD505-2E9C-101B-9397-08002B2CF9AE}" pid="12" name="Year">
    <vt:lpwstr>Choice 5</vt:lpwstr>
  </property>
</Properties>
</file>